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211bca"/>
          <w:sz w:val="40"/>
          <w:szCs w:val="40"/>
        </w:rPr>
      </w:pPr>
      <w:r w:rsidDel="00000000" w:rsidR="00000000" w:rsidRPr="00000000">
        <w:rPr>
          <w:b w:val="1"/>
          <w:bCs w:val="1"/>
          <w:color w:val="211bca"/>
          <w:sz w:val="40"/>
          <w:szCs w:val="40"/>
          <w:rtl w:val="0"/>
        </w:rPr>
        <w:t xml:space="preserve">Documentopzet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211bca"/>
          <w:sz w:val="40"/>
          <w:szCs w:val="40"/>
        </w:rPr>
      </w:pPr>
      <w:r w:rsidDel="00000000" w:rsidR="00000000" w:rsidRPr="00000000">
        <w:rPr>
          <w:b w:val="1"/>
          <w:bCs w:val="1"/>
          <w:color w:val="211bca"/>
          <w:sz w:val="40"/>
          <w:szCs w:val="40"/>
          <w:rtl w:val="0"/>
        </w:rPr>
        <w:t xml:space="preserve">Aanvraag – Marketing Regeling</w:t>
      </w:r>
    </w:p>
    <w:p w:rsidR="00000000" w:rsidDel="00000000" w:rsidP="00000000" w:rsidRDefault="00000000" w:rsidRPr="00000000" w14:paraId="00000003">
      <w:pPr>
        <w:rPr>
          <w:b w:val="1"/>
          <w:bCs w:val="1"/>
          <w:color w:val="211bca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color w:val="211bc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0967ff"/>
          <w:sz w:val="32"/>
          <w:szCs w:val="32"/>
        </w:rPr>
      </w:pPr>
      <w:r w:rsidDel="00000000" w:rsidR="00000000" w:rsidRPr="00000000">
        <w:rPr>
          <w:b w:val="1"/>
          <w:bCs w:val="1"/>
          <w:color w:val="0967ff"/>
          <w:sz w:val="32"/>
          <w:szCs w:val="32"/>
          <w:rtl w:val="0"/>
        </w:rPr>
        <w:t xml:space="preserve">Inleiding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Biografie en Achtergrond van de Artiest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Geef een gedetailleerde biografie van de artiest, inclusief carrièregeschiedenis, belangrijke ontwikkelingen en de huidige status.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Lange Termijn Carrièredoelen en Ambities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Beschrijf de langetermijndoelstellingen en visie van de artiest voor zijn of haar carrière.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0967ff"/>
          <w:sz w:val="32"/>
          <w:szCs w:val="32"/>
        </w:rPr>
      </w:pPr>
      <w:r w:rsidDel="00000000" w:rsidR="00000000" w:rsidRPr="00000000">
        <w:rPr>
          <w:b w:val="1"/>
          <w:bCs w:val="1"/>
          <w:color w:val="0967ff"/>
          <w:sz w:val="32"/>
          <w:szCs w:val="32"/>
          <w:rtl w:val="0"/>
        </w:rPr>
        <w:t xml:space="preserve">Carrièrestatus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Overzicht van de Carrière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Een samenvatting van de huidige positie van de artiest in de muzieksector.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Streamingprestaties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Geef streamingcijfers op verschillende platforms.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Radio Airplay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Geef inzicht in airplay-statistieken en belangrijke radiosupport.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Live Optredens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Overzicht van recente live-optredens, inclusief een volledige lijst van shows van de afgelopen twee jaar (bijlage toevoegen).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Verkoopcijfers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Vermeld gegevens over fysieke en digitale muziekverkoop.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Teamoverzicht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Een overzicht van het team van de artiest, zowel in Nederland als internationaal.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color w:val="0967ff"/>
          <w:sz w:val="32"/>
          <w:szCs w:val="32"/>
        </w:rPr>
      </w:pPr>
      <w:r w:rsidDel="00000000" w:rsidR="00000000" w:rsidRPr="00000000">
        <w:rPr>
          <w:b w:val="1"/>
          <w:bCs w:val="1"/>
          <w:color w:val="0967ff"/>
          <w:sz w:val="32"/>
          <w:szCs w:val="32"/>
          <w:rtl w:val="0"/>
        </w:rPr>
        <w:t xml:space="preserve">Doelstellingen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Marktselectie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Verklaar de reden achter de keuze voor specifieke focuslanden binnen de releasecampagne.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SWOT-analyse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Lever een SWOT-analyse per focusland.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Doelstellingen &amp; Targets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Definieer korte-, middellange- en langetermijndoelen per focusland.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color w:val="0967ff"/>
          <w:sz w:val="32"/>
          <w:szCs w:val="32"/>
        </w:rPr>
      </w:pPr>
      <w:r w:rsidDel="00000000" w:rsidR="00000000" w:rsidRPr="00000000">
        <w:rPr>
          <w:b w:val="1"/>
          <w:bCs w:val="1"/>
          <w:color w:val="0967ff"/>
          <w:sz w:val="32"/>
          <w:szCs w:val="32"/>
          <w:rtl w:val="0"/>
        </w:rPr>
        <w:t xml:space="preserve">Planning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Releasetijdlijn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Geef aan wanneer specifieke PR- en marketingactiviteiten worden uitgevoerd.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Begrotingsoverzicht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Biedt een financiële uitsplitsing van de campagne.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Specificatie van Activiteiten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Geef details over elke activiteit, inclusief de verantwoordelijke personen of bedrijven.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Kostenoverzicht</w:t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Specificeer de verwachte kosten per activiteit.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Tools &amp; Planning</w:t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Beschrijf de gebruikte tools en methoden voor het plannen en beheren van de campagne.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5245100</wp:posOffset>
          </wp:positionH>
          <wp:positionV relativeFrom="margin">
            <wp:posOffset>-609599</wp:posOffset>
          </wp:positionV>
          <wp:extent cx="1274927" cy="43497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4927" cy="43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