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46C13" w14:textId="7BC3EBB9" w:rsidR="00C75E6A" w:rsidRPr="004700FE" w:rsidRDefault="00BE5143" w:rsidP="00C75E6A">
      <w:pPr>
        <w:rPr>
          <w:b/>
          <w:bCs/>
          <w:color w:val="074F6A" w:themeColor="accent4" w:themeShade="80"/>
          <w:sz w:val="28"/>
          <w:szCs w:val="28"/>
          <w:u w:val="single"/>
        </w:rPr>
      </w:pPr>
      <w:r w:rsidRPr="004700FE">
        <w:rPr>
          <w:rFonts w:ascii="Avenir Next LT Pro" w:hAnsi="Avenir Next LT Pro" w:cs="Times New Roman"/>
          <w:b/>
          <w:bCs/>
          <w:noProof/>
          <w:color w:val="074F6A" w:themeColor="accent4" w:themeShade="80"/>
        </w:rPr>
        <w:drawing>
          <wp:anchor distT="0" distB="0" distL="0" distR="0" simplePos="0" relativeHeight="251658240" behindDoc="1" locked="0" layoutInCell="1" allowOverlap="1" wp14:anchorId="144B8B4B" wp14:editId="27494D01">
            <wp:simplePos x="0" y="0"/>
            <wp:positionH relativeFrom="page">
              <wp:align>left</wp:align>
            </wp:positionH>
            <wp:positionV relativeFrom="margin">
              <wp:align>center</wp:align>
            </wp:positionV>
            <wp:extent cx="167425" cy="10723880"/>
            <wp:effectExtent l="0" t="0" r="4445" b="0"/>
            <wp:wrapSquare wrapText="bothSides"/>
            <wp:docPr id="6414324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167425" cy="10723880"/>
                    </a:xfrm>
                    <a:prstGeom prst="rect">
                      <a:avLst/>
                    </a:prstGeom>
                  </pic:spPr>
                </pic:pic>
              </a:graphicData>
            </a:graphic>
            <wp14:sizeRelH relativeFrom="margin">
              <wp14:pctWidth>0</wp14:pctWidth>
            </wp14:sizeRelH>
            <wp14:sizeRelV relativeFrom="margin">
              <wp14:pctHeight>0</wp14:pctHeight>
            </wp14:sizeRelV>
          </wp:anchor>
        </w:drawing>
      </w:r>
      <w:r w:rsidR="00C75E6A" w:rsidRPr="004700FE">
        <w:rPr>
          <w:b/>
          <w:bCs/>
          <w:color w:val="074F6A" w:themeColor="accent4" w:themeShade="80"/>
          <w:sz w:val="28"/>
          <w:szCs w:val="28"/>
          <w:u w:val="single"/>
        </w:rPr>
        <w:t>AI en de creatieve sector</w:t>
      </w:r>
    </w:p>
    <w:p w14:paraId="54E32C3B" w14:textId="226B326B" w:rsidR="00CA782E" w:rsidRPr="004700FE" w:rsidRDefault="00CA782E" w:rsidP="00C75E6A">
      <w:pPr>
        <w:rPr>
          <w:b/>
          <w:bCs/>
          <w:i/>
          <w:iCs/>
          <w:sz w:val="22"/>
          <w:szCs w:val="22"/>
        </w:rPr>
      </w:pPr>
      <w:r w:rsidRPr="004700FE">
        <w:rPr>
          <w:b/>
          <w:bCs/>
          <w:i/>
          <w:iCs/>
          <w:sz w:val="22"/>
          <w:szCs w:val="22"/>
        </w:rPr>
        <w:t>Position paper van NVPI, brancheorganisatie van muziekproducenten en filmdistributeurs</w:t>
      </w:r>
    </w:p>
    <w:p w14:paraId="7ED92001" w14:textId="406D5318" w:rsidR="00CA782E" w:rsidRPr="004700FE" w:rsidRDefault="002F6BF6" w:rsidP="00C75E6A">
      <w:pPr>
        <w:rPr>
          <w:b/>
          <w:bCs/>
          <w:i/>
          <w:iCs/>
          <w:sz w:val="22"/>
          <w:szCs w:val="22"/>
        </w:rPr>
      </w:pPr>
      <w:r>
        <w:rPr>
          <w:b/>
          <w:bCs/>
          <w:i/>
          <w:iCs/>
          <w:sz w:val="22"/>
          <w:szCs w:val="22"/>
        </w:rPr>
        <w:t>September</w:t>
      </w:r>
      <w:r w:rsidRPr="004700FE">
        <w:rPr>
          <w:b/>
          <w:bCs/>
          <w:i/>
          <w:iCs/>
          <w:sz w:val="22"/>
          <w:szCs w:val="22"/>
        </w:rPr>
        <w:t xml:space="preserve"> </w:t>
      </w:r>
      <w:r w:rsidR="009A582B" w:rsidRPr="004700FE">
        <w:rPr>
          <w:b/>
          <w:bCs/>
          <w:i/>
          <w:iCs/>
          <w:sz w:val="22"/>
          <w:szCs w:val="22"/>
        </w:rPr>
        <w:t>2026</w:t>
      </w:r>
    </w:p>
    <w:p w14:paraId="00EB520A" w14:textId="77777777" w:rsidR="009A582B" w:rsidRPr="00C75E6A" w:rsidRDefault="009A582B" w:rsidP="00C75E6A">
      <w:pPr>
        <w:rPr>
          <w:b/>
          <w:bCs/>
          <w:i/>
          <w:iCs/>
          <w:sz w:val="22"/>
          <w:szCs w:val="22"/>
        </w:rPr>
      </w:pPr>
    </w:p>
    <w:p w14:paraId="50CF2B6E" w14:textId="1A6B2AAF" w:rsidR="00C75E6A" w:rsidRPr="00C75E6A" w:rsidRDefault="00C75E6A" w:rsidP="00C75E6A">
      <w:pPr>
        <w:rPr>
          <w:b/>
          <w:bCs/>
          <w:sz w:val="22"/>
          <w:szCs w:val="22"/>
        </w:rPr>
      </w:pPr>
      <w:r w:rsidRPr="00C75E6A">
        <w:rPr>
          <w:b/>
          <w:bCs/>
          <w:sz w:val="22"/>
          <w:szCs w:val="22"/>
        </w:rPr>
        <w:t xml:space="preserve">1. </w:t>
      </w:r>
      <w:r w:rsidR="003E7C50">
        <w:rPr>
          <w:b/>
          <w:bCs/>
          <w:sz w:val="22"/>
          <w:szCs w:val="22"/>
        </w:rPr>
        <w:t>U</w:t>
      </w:r>
      <w:r w:rsidRPr="00C75E6A">
        <w:rPr>
          <w:b/>
          <w:bCs/>
          <w:sz w:val="22"/>
          <w:szCs w:val="22"/>
        </w:rPr>
        <w:t>itgangspunten</w:t>
      </w:r>
      <w:r w:rsidR="00410323">
        <w:rPr>
          <w:b/>
          <w:bCs/>
          <w:sz w:val="22"/>
          <w:szCs w:val="22"/>
        </w:rPr>
        <w:t xml:space="preserve">   </w:t>
      </w:r>
    </w:p>
    <w:p w14:paraId="36C1F121" w14:textId="77777777" w:rsidR="00C75E6A" w:rsidRPr="003E7C50" w:rsidRDefault="00C75E6A" w:rsidP="00C75E6A">
      <w:pPr>
        <w:rPr>
          <w:sz w:val="22"/>
          <w:szCs w:val="22"/>
        </w:rPr>
      </w:pPr>
      <w:r w:rsidRPr="003E7C50">
        <w:rPr>
          <w:sz w:val="22"/>
          <w:szCs w:val="22"/>
        </w:rPr>
        <w:t>Kunstmatige intelligentie (AI) biedt de creatieve sector onmiskenbaar kansen voor innovatie, efficiëntie en nieuwe vormen van creatie en distributie. Tegelijkertijd brengt de inzet van AI substantiële en structurele risico’s met zich mee voor het economische fundament van film en muziek. Ongeautoriseerd gebruik van beschermde werken voor AI-doeleinden, in het bijzonder voor training van generatieve modellen, kan de normale exploitatie van werken aantasten en daarmee investeringen, werkgelegenheid en culturele diversiteit ondermijnen.</w:t>
      </w:r>
    </w:p>
    <w:p w14:paraId="494C547B" w14:textId="2D537C99" w:rsidR="00C75E6A" w:rsidRPr="009017D4" w:rsidRDefault="00C75E6A" w:rsidP="00C75E6A">
      <w:pPr>
        <w:rPr>
          <w:sz w:val="22"/>
          <w:szCs w:val="22"/>
        </w:rPr>
      </w:pPr>
      <w:r w:rsidRPr="003E7C50">
        <w:rPr>
          <w:sz w:val="22"/>
          <w:szCs w:val="22"/>
        </w:rPr>
        <w:t>NVPI pleit daarom voor beleid waarin technologische innovatie hand in hand gaat met rechtszekerheid, investeringsbescherming en behoud van menselijke creativiteit. Toepassing van AI is wenselijk, mits die plaatsvindt binnen een solide</w:t>
      </w:r>
      <w:r w:rsidRPr="009017D4">
        <w:rPr>
          <w:sz w:val="22"/>
          <w:szCs w:val="22"/>
        </w:rPr>
        <w:t xml:space="preserve">, werkbaar en handhaafbaar juridisch kader. Het bestaande </w:t>
      </w:r>
      <w:r w:rsidR="0042607C" w:rsidRPr="009017D4">
        <w:rPr>
          <w:sz w:val="22"/>
          <w:szCs w:val="22"/>
        </w:rPr>
        <w:t xml:space="preserve">nationale en Europese </w:t>
      </w:r>
      <w:r w:rsidRPr="009017D4">
        <w:rPr>
          <w:sz w:val="22"/>
          <w:szCs w:val="22"/>
        </w:rPr>
        <w:t>auteurs- en naburigrechtelijke stelsel</w:t>
      </w:r>
      <w:r w:rsidR="003E7C50" w:rsidRPr="009017D4">
        <w:rPr>
          <w:sz w:val="22"/>
          <w:szCs w:val="22"/>
        </w:rPr>
        <w:t>, waaronder de AI Act,</w:t>
      </w:r>
      <w:r w:rsidRPr="009017D4">
        <w:rPr>
          <w:sz w:val="22"/>
          <w:szCs w:val="22"/>
        </w:rPr>
        <w:t xml:space="preserve"> biedt daarvoor een adequate basis. Nieuwe wetgeving of verplichte collectieve vergoedings- of licentiesystemen zijn niet nodig en zelfs onwenselijk.</w:t>
      </w:r>
    </w:p>
    <w:p w14:paraId="4B989415" w14:textId="059CE652" w:rsidR="00E454C3" w:rsidRDefault="000F6F7C" w:rsidP="00C75E6A">
      <w:pPr>
        <w:rPr>
          <w:sz w:val="22"/>
          <w:szCs w:val="22"/>
        </w:rPr>
      </w:pPr>
      <w:r w:rsidRPr="009017D4">
        <w:rPr>
          <w:sz w:val="22"/>
          <w:szCs w:val="22"/>
        </w:rPr>
        <w:t xml:space="preserve">NVPI hanteert een human-centric benadering: menselijke creativiteit, verantwoordelijkheid en investeringen moeten centraal blijven staan. </w:t>
      </w:r>
      <w:r w:rsidR="000E1481" w:rsidRPr="000E1481">
        <w:rPr>
          <w:sz w:val="22"/>
          <w:szCs w:val="22"/>
        </w:rPr>
        <w:t xml:space="preserve">Verplichte transparantie en </w:t>
      </w:r>
      <w:r w:rsidR="00323DAD" w:rsidRPr="000E1481">
        <w:rPr>
          <w:sz w:val="22"/>
          <w:szCs w:val="22"/>
        </w:rPr>
        <w:t>labelen</w:t>
      </w:r>
      <w:r w:rsidR="000E1481" w:rsidRPr="000E1481">
        <w:rPr>
          <w:sz w:val="22"/>
          <w:szCs w:val="22"/>
        </w:rPr>
        <w:t xml:space="preserve"> van AI-output zijn van belang om door mensen gecreëerde werken te beschermen tegen oneerlijke concurrentie van volledig AI-gegenereerd materiaal</w:t>
      </w:r>
      <w:r w:rsidR="00E454C3">
        <w:rPr>
          <w:sz w:val="22"/>
          <w:szCs w:val="22"/>
        </w:rPr>
        <w:t xml:space="preserve">. </w:t>
      </w:r>
      <w:r w:rsidR="00E454C3" w:rsidRPr="00E454C3">
        <w:rPr>
          <w:sz w:val="22"/>
          <w:szCs w:val="22"/>
        </w:rPr>
        <w:t>Labelingverplichtingen dienen in de gehele generatieve AI-keten te worden toegepast alsmede duidelijk, opvallend en passend te zijn bij het gebruikte medium. Ook dient de integriteit van relevante metadata en identificerende informatie in de keten behouden te blijven.</w:t>
      </w:r>
    </w:p>
    <w:p w14:paraId="3AB93C04" w14:textId="3B03E480" w:rsidR="00410323" w:rsidRPr="003E7C50" w:rsidRDefault="000E1481" w:rsidP="00C75E6A">
      <w:pPr>
        <w:rPr>
          <w:sz w:val="22"/>
          <w:szCs w:val="22"/>
        </w:rPr>
      </w:pPr>
      <w:r>
        <w:rPr>
          <w:sz w:val="22"/>
          <w:szCs w:val="22"/>
        </w:rPr>
        <w:t>V</w:t>
      </w:r>
      <w:r w:rsidRPr="000E1481">
        <w:rPr>
          <w:sz w:val="22"/>
          <w:szCs w:val="22"/>
        </w:rPr>
        <w:t xml:space="preserve">olledig door AI gegenereerd materiaal </w:t>
      </w:r>
      <w:r>
        <w:rPr>
          <w:sz w:val="22"/>
          <w:szCs w:val="22"/>
        </w:rPr>
        <w:t xml:space="preserve">is </w:t>
      </w:r>
      <w:r w:rsidRPr="000E1481">
        <w:rPr>
          <w:sz w:val="22"/>
          <w:szCs w:val="22"/>
        </w:rPr>
        <w:t>niet beschermd</w:t>
      </w:r>
      <w:r>
        <w:rPr>
          <w:sz w:val="22"/>
          <w:szCs w:val="22"/>
        </w:rPr>
        <w:t xml:space="preserve"> en behoort dat </w:t>
      </w:r>
      <w:r w:rsidR="00E454C3">
        <w:rPr>
          <w:sz w:val="22"/>
          <w:szCs w:val="22"/>
        </w:rPr>
        <w:t xml:space="preserve">naar de mening van NVPI </w:t>
      </w:r>
      <w:r>
        <w:rPr>
          <w:sz w:val="22"/>
          <w:szCs w:val="22"/>
        </w:rPr>
        <w:t>ook niet te zijn</w:t>
      </w:r>
      <w:r w:rsidRPr="000E1481">
        <w:rPr>
          <w:sz w:val="22"/>
          <w:szCs w:val="22"/>
        </w:rPr>
        <w:t>.</w:t>
      </w:r>
      <w:r>
        <w:rPr>
          <w:sz w:val="22"/>
          <w:szCs w:val="22"/>
        </w:rPr>
        <w:t xml:space="preserve"> </w:t>
      </w:r>
      <w:r w:rsidRPr="000E1481">
        <w:rPr>
          <w:sz w:val="22"/>
          <w:szCs w:val="22"/>
        </w:rPr>
        <w:t xml:space="preserve">Materiaal waarbij AI als hulpmiddel wordt gebruikt kan </w:t>
      </w:r>
      <w:r w:rsidR="00E454C3">
        <w:rPr>
          <w:sz w:val="22"/>
          <w:szCs w:val="22"/>
        </w:rPr>
        <w:t xml:space="preserve">wel degelijk </w:t>
      </w:r>
      <w:r>
        <w:rPr>
          <w:sz w:val="22"/>
          <w:szCs w:val="22"/>
        </w:rPr>
        <w:t>auteurs- en/of nabuurrechtelijk b</w:t>
      </w:r>
      <w:r w:rsidRPr="000E1481">
        <w:rPr>
          <w:sz w:val="22"/>
          <w:szCs w:val="22"/>
        </w:rPr>
        <w:t>eschermd zijn indien voldaan is aan de</w:t>
      </w:r>
      <w:r>
        <w:rPr>
          <w:sz w:val="22"/>
          <w:szCs w:val="22"/>
        </w:rPr>
        <w:t xml:space="preserve"> betreffende juridische</w:t>
      </w:r>
      <w:r w:rsidRPr="000E1481">
        <w:rPr>
          <w:sz w:val="22"/>
          <w:szCs w:val="22"/>
        </w:rPr>
        <w:t xml:space="preserve"> </w:t>
      </w:r>
      <w:r>
        <w:rPr>
          <w:sz w:val="22"/>
          <w:szCs w:val="22"/>
        </w:rPr>
        <w:t>criteria</w:t>
      </w:r>
      <w:r w:rsidR="00FF1B57">
        <w:rPr>
          <w:sz w:val="22"/>
          <w:szCs w:val="22"/>
        </w:rPr>
        <w:t xml:space="preserve">, </w:t>
      </w:r>
      <w:r w:rsidRPr="000E1481">
        <w:rPr>
          <w:sz w:val="22"/>
          <w:szCs w:val="22"/>
        </w:rPr>
        <w:t xml:space="preserve">zoals </w:t>
      </w:r>
      <w:r>
        <w:rPr>
          <w:sz w:val="22"/>
          <w:szCs w:val="22"/>
        </w:rPr>
        <w:t xml:space="preserve">aanwezigheid van </w:t>
      </w:r>
      <w:r w:rsidRPr="000E1481">
        <w:rPr>
          <w:sz w:val="22"/>
          <w:szCs w:val="22"/>
        </w:rPr>
        <w:t>voldoende menselijke creativiteit</w:t>
      </w:r>
      <w:r>
        <w:rPr>
          <w:sz w:val="22"/>
          <w:szCs w:val="22"/>
        </w:rPr>
        <w:t xml:space="preserve">, respectievelijk het </w:t>
      </w:r>
      <w:r w:rsidRPr="000E1481">
        <w:rPr>
          <w:sz w:val="22"/>
          <w:szCs w:val="22"/>
        </w:rPr>
        <w:t xml:space="preserve">daadwerkelijk organiseren </w:t>
      </w:r>
      <w:r>
        <w:rPr>
          <w:sz w:val="22"/>
          <w:szCs w:val="22"/>
        </w:rPr>
        <w:t>en financieren van een productie en productieproces</w:t>
      </w:r>
      <w:r w:rsidR="000F6F7C" w:rsidRPr="003E7C50">
        <w:rPr>
          <w:sz w:val="22"/>
          <w:szCs w:val="22"/>
        </w:rPr>
        <w:t>.</w:t>
      </w:r>
      <w:r w:rsidR="00410323">
        <w:rPr>
          <w:sz w:val="22"/>
          <w:szCs w:val="22"/>
        </w:rPr>
        <w:t xml:space="preserve"> </w:t>
      </w:r>
      <w:r w:rsidR="00410323" w:rsidRPr="00410323">
        <w:rPr>
          <w:sz w:val="22"/>
          <w:szCs w:val="22"/>
        </w:rPr>
        <w:t xml:space="preserve">Het bestaande Europese kader, in het bijzonder de </w:t>
      </w:r>
      <w:r w:rsidR="006D430A">
        <w:rPr>
          <w:sz w:val="22"/>
          <w:szCs w:val="22"/>
        </w:rPr>
        <w:t xml:space="preserve">EU </w:t>
      </w:r>
      <w:r w:rsidR="00410323" w:rsidRPr="00410323">
        <w:rPr>
          <w:sz w:val="22"/>
          <w:szCs w:val="22"/>
        </w:rPr>
        <w:t>DSM</w:t>
      </w:r>
      <w:r w:rsidR="006D430A">
        <w:rPr>
          <w:sz w:val="22"/>
          <w:szCs w:val="22"/>
        </w:rPr>
        <w:t xml:space="preserve"> Auteursrecht</w:t>
      </w:r>
      <w:r w:rsidR="00410323" w:rsidRPr="00410323">
        <w:rPr>
          <w:sz w:val="22"/>
          <w:szCs w:val="22"/>
        </w:rPr>
        <w:t xml:space="preserve">richtlijn, is technologieneutraal en </w:t>
      </w:r>
      <w:r w:rsidR="006D430A">
        <w:rPr>
          <w:sz w:val="22"/>
          <w:szCs w:val="22"/>
        </w:rPr>
        <w:t xml:space="preserve">is </w:t>
      </w:r>
      <w:r w:rsidR="00410323" w:rsidRPr="00410323">
        <w:rPr>
          <w:sz w:val="22"/>
          <w:szCs w:val="22"/>
        </w:rPr>
        <w:t>geschikt</w:t>
      </w:r>
      <w:r w:rsidR="00410323">
        <w:rPr>
          <w:sz w:val="22"/>
          <w:szCs w:val="22"/>
        </w:rPr>
        <w:t>e wetgeving</w:t>
      </w:r>
      <w:r w:rsidR="00410323" w:rsidRPr="00410323">
        <w:rPr>
          <w:sz w:val="22"/>
          <w:szCs w:val="22"/>
        </w:rPr>
        <w:t xml:space="preserve">. Heropening van deze richtlijn is </w:t>
      </w:r>
      <w:r w:rsidR="00410323">
        <w:rPr>
          <w:sz w:val="22"/>
          <w:szCs w:val="22"/>
        </w:rPr>
        <w:t>voorbarig</w:t>
      </w:r>
      <w:r w:rsidR="00410323" w:rsidRPr="00410323">
        <w:rPr>
          <w:sz w:val="22"/>
          <w:szCs w:val="22"/>
        </w:rPr>
        <w:t>, mede gelet op lopende procedures bij nationale rechters en het Hof van Justitie van de EU over kernbepalingen zoals artikel 3 en 4 (TDM). De sector heeft in deze fase primair behoefte aan rechtszekerheid en voorspelbaarheid door consistente toepassing en jurisprudentie.</w:t>
      </w:r>
    </w:p>
    <w:p w14:paraId="1051D631" w14:textId="77777777" w:rsidR="00C75E6A" w:rsidRPr="00C75E6A" w:rsidRDefault="00C75E6A" w:rsidP="00C75E6A">
      <w:pPr>
        <w:rPr>
          <w:b/>
          <w:bCs/>
          <w:sz w:val="22"/>
          <w:szCs w:val="22"/>
        </w:rPr>
      </w:pPr>
      <w:r w:rsidRPr="00C75E6A">
        <w:rPr>
          <w:b/>
          <w:bCs/>
          <w:sz w:val="22"/>
          <w:szCs w:val="22"/>
        </w:rPr>
        <w:t>2. Exclusieve rechten als fundament van de sector</w:t>
      </w:r>
    </w:p>
    <w:p w14:paraId="2E92D1AB" w14:textId="3CC317CB" w:rsidR="00C75E6A" w:rsidRPr="00C75E6A" w:rsidRDefault="00C75E6A" w:rsidP="00C75E6A">
      <w:pPr>
        <w:rPr>
          <w:sz w:val="22"/>
          <w:szCs w:val="22"/>
        </w:rPr>
      </w:pPr>
      <w:r w:rsidRPr="00C75E6A">
        <w:rPr>
          <w:sz w:val="22"/>
          <w:szCs w:val="22"/>
        </w:rPr>
        <w:t xml:space="preserve">De exclusieve auteurs- en naburige rechten vormen het economische en juridische fundament van de creatieve sector. Zij maken investeringen </w:t>
      </w:r>
      <w:r w:rsidR="0042607C">
        <w:rPr>
          <w:sz w:val="22"/>
          <w:szCs w:val="22"/>
        </w:rPr>
        <w:t xml:space="preserve">in muziek- en filmproducties </w:t>
      </w:r>
      <w:r w:rsidRPr="00C75E6A">
        <w:rPr>
          <w:sz w:val="22"/>
          <w:szCs w:val="22"/>
        </w:rPr>
        <w:t xml:space="preserve">mogelijk, zorgen voor risicospreiding en ondersteunen een duurzame marktwerking. AI-training vereist </w:t>
      </w:r>
      <w:r w:rsidRPr="00C75E6A">
        <w:rPr>
          <w:sz w:val="22"/>
          <w:szCs w:val="22"/>
        </w:rPr>
        <w:lastRenderedPageBreak/>
        <w:t>verveelvoudiging van beschermde werken en valt daarmee onder deze exclusieve rechten. Toestemming van rechthebbenden is daarom een noodzakelijke voorwaarde.</w:t>
      </w:r>
    </w:p>
    <w:p w14:paraId="51826BFB" w14:textId="77777777" w:rsidR="00C75E6A" w:rsidRPr="00C75E6A" w:rsidRDefault="00C75E6A" w:rsidP="00C75E6A">
      <w:pPr>
        <w:rPr>
          <w:sz w:val="22"/>
          <w:szCs w:val="22"/>
        </w:rPr>
      </w:pPr>
      <w:r w:rsidRPr="00C75E6A">
        <w:rPr>
          <w:sz w:val="22"/>
          <w:szCs w:val="22"/>
        </w:rPr>
        <w:t>Deze exclusieve rechten waarborgen dat rechthebbenden zelf kunnen bepalen of, hoe en onder welke voorwaarden hun werken worden gebruikt voor AI-toepassingen. Dat is essentieel voor het behoud van investeringszekerheid en voor een gezonde onderhandelingspositie in de markt.</w:t>
      </w:r>
    </w:p>
    <w:p w14:paraId="13755461" w14:textId="77777777" w:rsidR="00C75E6A" w:rsidRPr="00C75E6A" w:rsidRDefault="00C75E6A" w:rsidP="00C75E6A">
      <w:pPr>
        <w:rPr>
          <w:b/>
          <w:bCs/>
          <w:sz w:val="22"/>
          <w:szCs w:val="22"/>
        </w:rPr>
      </w:pPr>
      <w:r w:rsidRPr="00C75E6A">
        <w:rPr>
          <w:b/>
          <w:bCs/>
          <w:sz w:val="22"/>
          <w:szCs w:val="22"/>
        </w:rPr>
        <w:t>3. Individuele licenties werken in de praktijk</w:t>
      </w:r>
    </w:p>
    <w:p w14:paraId="1732B8B3" w14:textId="4D1562AF" w:rsidR="00C75E6A" w:rsidRPr="00C75E6A" w:rsidRDefault="00C75E6A" w:rsidP="00C75E6A">
      <w:pPr>
        <w:rPr>
          <w:sz w:val="22"/>
          <w:szCs w:val="22"/>
        </w:rPr>
      </w:pPr>
      <w:r w:rsidRPr="00C75E6A">
        <w:rPr>
          <w:sz w:val="22"/>
          <w:szCs w:val="22"/>
        </w:rPr>
        <w:t>In de creatieve sector bestaat reeds een goed functionerende markt v</w:t>
      </w:r>
      <w:r w:rsidRPr="0032181E">
        <w:rPr>
          <w:sz w:val="22"/>
          <w:szCs w:val="22"/>
        </w:rPr>
        <w:t>oor individuele licenties</w:t>
      </w:r>
      <w:r w:rsidRPr="00C75E6A">
        <w:rPr>
          <w:sz w:val="22"/>
          <w:szCs w:val="22"/>
        </w:rPr>
        <w:t xml:space="preserve"> voor AI-gebruik, waaronder AI-training. Recente marktontwikkelingen </w:t>
      </w:r>
      <w:r w:rsidR="00617AE2">
        <w:rPr>
          <w:sz w:val="22"/>
          <w:szCs w:val="22"/>
        </w:rPr>
        <w:t xml:space="preserve">bevestigen </w:t>
      </w:r>
      <w:r w:rsidRPr="00C75E6A">
        <w:rPr>
          <w:sz w:val="22"/>
          <w:szCs w:val="22"/>
        </w:rPr>
        <w:t>dat licensering binnen het bestaande juridische kader mogelijk is</w:t>
      </w:r>
      <w:r w:rsidR="0042607C">
        <w:rPr>
          <w:sz w:val="22"/>
          <w:szCs w:val="22"/>
        </w:rPr>
        <w:t>,</w:t>
      </w:r>
      <w:r w:rsidRPr="00C75E6A">
        <w:rPr>
          <w:sz w:val="22"/>
          <w:szCs w:val="22"/>
        </w:rPr>
        <w:t xml:space="preserve"> </w:t>
      </w:r>
      <w:r w:rsidR="0042607C">
        <w:rPr>
          <w:sz w:val="22"/>
          <w:szCs w:val="22"/>
        </w:rPr>
        <w:t xml:space="preserve">met </w:t>
      </w:r>
      <w:r w:rsidR="00F543FE">
        <w:rPr>
          <w:sz w:val="22"/>
          <w:szCs w:val="22"/>
        </w:rPr>
        <w:t xml:space="preserve">bijbehorende </w:t>
      </w:r>
      <w:r w:rsidR="00F543FE" w:rsidRPr="00C75E6A">
        <w:rPr>
          <w:sz w:val="22"/>
          <w:szCs w:val="22"/>
        </w:rPr>
        <w:t>inkomstenstromen</w:t>
      </w:r>
      <w:r w:rsidRPr="00C75E6A">
        <w:rPr>
          <w:sz w:val="22"/>
          <w:szCs w:val="22"/>
        </w:rPr>
        <w:t xml:space="preserve"> voor makers en producenten</w:t>
      </w:r>
      <w:r w:rsidR="0042607C">
        <w:rPr>
          <w:sz w:val="22"/>
          <w:szCs w:val="22"/>
        </w:rPr>
        <w:t xml:space="preserve"> voor het gebruik </w:t>
      </w:r>
      <w:r w:rsidR="00BF15DB">
        <w:rPr>
          <w:sz w:val="22"/>
          <w:szCs w:val="22"/>
        </w:rPr>
        <w:t xml:space="preserve">dat </w:t>
      </w:r>
      <w:r w:rsidR="0042607C">
        <w:rPr>
          <w:sz w:val="22"/>
          <w:szCs w:val="22"/>
        </w:rPr>
        <w:t>van</w:t>
      </w:r>
      <w:r w:rsidR="00BF15DB">
        <w:rPr>
          <w:sz w:val="22"/>
          <w:szCs w:val="22"/>
        </w:rPr>
        <w:t xml:space="preserve"> </w:t>
      </w:r>
      <w:r w:rsidR="00F543FE">
        <w:rPr>
          <w:sz w:val="22"/>
          <w:szCs w:val="22"/>
        </w:rPr>
        <w:t>hun creatieve</w:t>
      </w:r>
      <w:r w:rsidR="00617AE2">
        <w:rPr>
          <w:sz w:val="22"/>
          <w:szCs w:val="22"/>
        </w:rPr>
        <w:t xml:space="preserve"> producties</w:t>
      </w:r>
      <w:r w:rsidR="00BF15DB">
        <w:rPr>
          <w:sz w:val="22"/>
          <w:szCs w:val="22"/>
        </w:rPr>
        <w:t xml:space="preserve"> gemaakt wordt</w:t>
      </w:r>
      <w:r w:rsidRPr="00C75E6A">
        <w:rPr>
          <w:sz w:val="22"/>
          <w:szCs w:val="22"/>
        </w:rPr>
        <w:t xml:space="preserve">. </w:t>
      </w:r>
      <w:r w:rsidR="001B5F31" w:rsidRPr="001B5F31">
        <w:rPr>
          <w:sz w:val="22"/>
          <w:szCs w:val="22"/>
        </w:rPr>
        <w:t>In de praktijk ontstaan bovendien nieuwe AI-diensten en verdienmodellen waarbij rechten vooraf worden geregeld en rechthebbenden delen in de opbrengsten. Dit laat zien dat AI-innovatie en licensering op basis van exclusieve rechten naast elkaar kunnen bestaan.</w:t>
      </w:r>
      <w:r w:rsidR="001B5F31">
        <w:rPr>
          <w:sz w:val="22"/>
          <w:szCs w:val="22"/>
        </w:rPr>
        <w:t xml:space="preserve"> Ook d</w:t>
      </w:r>
      <w:r w:rsidRPr="00C75E6A">
        <w:rPr>
          <w:sz w:val="22"/>
          <w:szCs w:val="22"/>
        </w:rPr>
        <w:t>e ontwikkeling van de digitale muziekmarkt en streamingdiensten illustreert dat de sector in staat is om ook in complexe markten effectieve licentiesystemen te realiseren.</w:t>
      </w:r>
      <w:r w:rsidR="00410323" w:rsidRPr="00410323">
        <w:t xml:space="preserve"> </w:t>
      </w:r>
      <w:r w:rsidR="00410323" w:rsidRPr="00410323">
        <w:rPr>
          <w:sz w:val="22"/>
          <w:szCs w:val="22"/>
        </w:rPr>
        <w:t xml:space="preserve">Hoewel de licentiemarkt zich aantoonbaar ontwikkelt, wordt deze in de praktijk vertraagd door onduidelijkheid over de reikwijdte en toepassing van de TDM-exceptie, met name artikel 4 </w:t>
      </w:r>
      <w:r w:rsidR="006D430A">
        <w:rPr>
          <w:sz w:val="22"/>
          <w:szCs w:val="22"/>
        </w:rPr>
        <w:t xml:space="preserve">EU </w:t>
      </w:r>
      <w:r w:rsidR="00410323" w:rsidRPr="00410323">
        <w:rPr>
          <w:sz w:val="22"/>
          <w:szCs w:val="22"/>
        </w:rPr>
        <w:t>DSM</w:t>
      </w:r>
      <w:r w:rsidR="006D430A">
        <w:rPr>
          <w:sz w:val="22"/>
          <w:szCs w:val="22"/>
        </w:rPr>
        <w:t xml:space="preserve"> Auteursrechtrichtlijn</w:t>
      </w:r>
      <w:r w:rsidR="00410323" w:rsidRPr="00410323">
        <w:rPr>
          <w:sz w:val="22"/>
          <w:szCs w:val="22"/>
        </w:rPr>
        <w:t>. Verdere verduidelijking via jurisprudentie en consistente handhaving is daarom essentieel voor het goed functioneren van deze markt.</w:t>
      </w:r>
    </w:p>
    <w:p w14:paraId="0FE46BFE" w14:textId="7F87B443" w:rsidR="00C75E6A" w:rsidRPr="00C75E6A" w:rsidRDefault="00BE5143" w:rsidP="00C75E6A">
      <w:pPr>
        <w:rPr>
          <w:sz w:val="22"/>
          <w:szCs w:val="22"/>
        </w:rPr>
      </w:pPr>
      <w:r w:rsidRPr="00D22DB7">
        <w:rPr>
          <w:rFonts w:ascii="Avenir Next LT Pro" w:hAnsi="Avenir Next LT Pro" w:cs="Times New Roman"/>
          <w:b/>
          <w:bCs/>
          <w:noProof/>
          <w:color w:val="1E1C3F"/>
        </w:rPr>
        <w:drawing>
          <wp:anchor distT="0" distB="0" distL="0" distR="0" simplePos="0" relativeHeight="251658241" behindDoc="1" locked="0" layoutInCell="1" allowOverlap="1" wp14:anchorId="757CB38F" wp14:editId="01B8D149">
            <wp:simplePos x="0" y="0"/>
            <wp:positionH relativeFrom="page">
              <wp:align>left</wp:align>
            </wp:positionH>
            <wp:positionV relativeFrom="page">
              <wp:align>top</wp:align>
            </wp:positionV>
            <wp:extent cx="167425" cy="10723880"/>
            <wp:effectExtent l="0" t="0" r="4445" b="0"/>
            <wp:wrapSquare wrapText="bothSides"/>
            <wp:docPr id="191778717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167425" cy="10723880"/>
                    </a:xfrm>
                    <a:prstGeom prst="rect">
                      <a:avLst/>
                    </a:prstGeom>
                  </pic:spPr>
                </pic:pic>
              </a:graphicData>
            </a:graphic>
            <wp14:sizeRelH relativeFrom="margin">
              <wp14:pctWidth>0</wp14:pctWidth>
            </wp14:sizeRelH>
            <wp14:sizeRelV relativeFrom="margin">
              <wp14:pctHeight>0</wp14:pctHeight>
            </wp14:sizeRelV>
          </wp:anchor>
        </w:drawing>
      </w:r>
      <w:r w:rsidR="00C75E6A" w:rsidRPr="00C75E6A">
        <w:rPr>
          <w:sz w:val="22"/>
          <w:szCs w:val="22"/>
        </w:rPr>
        <w:t>Individuele licensering is economisch het meest efficiënt en voorkomt verstoringen in prijsvorming en marktwerking. Verplichte collectieve licenties, wettelijke vergoedingsrechten of uitzonderingen zouden deze markt ondermijnen, onderhandelingen verplaatsen naar achteraf en de waarde van gebruik loskoppelen van daadwerkelijke marktverhoudingen. Vrijwillige collectieve afspraken zijn uitsluitend denkbaar als aanvulling op, en nooit ter vervanging van, individuele rechten.</w:t>
      </w:r>
    </w:p>
    <w:p w14:paraId="490FB542" w14:textId="77777777" w:rsidR="00C75E6A" w:rsidRPr="00C75E6A" w:rsidRDefault="00C75E6A" w:rsidP="00C75E6A">
      <w:pPr>
        <w:rPr>
          <w:b/>
          <w:bCs/>
          <w:sz w:val="22"/>
          <w:szCs w:val="22"/>
        </w:rPr>
      </w:pPr>
      <w:r w:rsidRPr="00C75E6A">
        <w:rPr>
          <w:b/>
          <w:bCs/>
          <w:sz w:val="22"/>
          <w:szCs w:val="22"/>
        </w:rPr>
        <w:t>4. Geen noodzaak voor nieuwe wetgeving</w:t>
      </w:r>
    </w:p>
    <w:p w14:paraId="7AA9717A" w14:textId="77777777" w:rsidR="00C75E6A" w:rsidRPr="00C75E6A" w:rsidRDefault="00C75E6A" w:rsidP="00C75E6A">
      <w:pPr>
        <w:rPr>
          <w:sz w:val="22"/>
          <w:szCs w:val="22"/>
        </w:rPr>
      </w:pPr>
      <w:r w:rsidRPr="00C75E6A">
        <w:rPr>
          <w:sz w:val="22"/>
          <w:szCs w:val="22"/>
        </w:rPr>
        <w:t>Het bestaan en de verdere ontwikkeling van marktgebaseerde licentiemodellen maken duidelijk dat nieuwe wettelijke regelingen niet nodig zijn. Verschuiving van exclusieve rechten naar wettelijke uitzonderingen of vergoedingsrechten zou het investeringsfundament van de creatieve sector aantasten, met negatieve gevolgen voor productie, werkgelegenheid en het aanbod voor consumenten.</w:t>
      </w:r>
    </w:p>
    <w:p w14:paraId="5173409E" w14:textId="4111C459" w:rsidR="00C75E6A" w:rsidRPr="00C75E6A" w:rsidRDefault="00C75E6A" w:rsidP="00C75E6A">
      <w:pPr>
        <w:rPr>
          <w:sz w:val="22"/>
          <w:szCs w:val="22"/>
        </w:rPr>
      </w:pPr>
      <w:r w:rsidRPr="00C75E6A">
        <w:rPr>
          <w:sz w:val="22"/>
          <w:szCs w:val="22"/>
        </w:rPr>
        <w:t xml:space="preserve">NVPI staat positief tegenover gerichte overheidssubsidies </w:t>
      </w:r>
      <w:r w:rsidRPr="009017D4">
        <w:rPr>
          <w:sz w:val="22"/>
          <w:szCs w:val="22"/>
        </w:rPr>
        <w:t>voor innovatie of capaciteitsontwikkeling rond generatieve AI in de creatieve sector, als deze aanvullend zijn op marktlicenties en geen afbreuk doen aan het toestemmingsvereiste</w:t>
      </w:r>
      <w:r w:rsidR="003E7C50" w:rsidRPr="009017D4">
        <w:rPr>
          <w:sz w:val="22"/>
          <w:szCs w:val="22"/>
        </w:rPr>
        <w:t>. Bijvoorbeeld om via publiek-private samenwerking nieuwe businessmodellen met AI te ontwikkelen die nationaal en Europees kunnen groeien.</w:t>
      </w:r>
      <w:r w:rsidRPr="009017D4">
        <w:rPr>
          <w:sz w:val="22"/>
          <w:szCs w:val="22"/>
        </w:rPr>
        <w:t xml:space="preserve"> </w:t>
      </w:r>
      <w:r w:rsidR="00617AE2" w:rsidRPr="009017D4">
        <w:rPr>
          <w:sz w:val="22"/>
          <w:szCs w:val="22"/>
        </w:rPr>
        <w:t>I</w:t>
      </w:r>
      <w:r w:rsidRPr="009017D4">
        <w:rPr>
          <w:sz w:val="22"/>
          <w:szCs w:val="22"/>
        </w:rPr>
        <w:t>ntroductie van investeringsverplichtingen voor AI-bedrijven acht NVPI ongewenst, omdat daarvan een legitimerende werking uitgaat richting ongeautoriseerde training en omdat zij de vrije marktwerking</w:t>
      </w:r>
      <w:r w:rsidRPr="00C75E6A">
        <w:rPr>
          <w:sz w:val="22"/>
          <w:szCs w:val="22"/>
        </w:rPr>
        <w:t xml:space="preserve"> ondergraaft.</w:t>
      </w:r>
    </w:p>
    <w:p w14:paraId="4D82CB6F" w14:textId="77777777" w:rsidR="00C75E6A" w:rsidRPr="00C75E6A" w:rsidRDefault="00C75E6A" w:rsidP="00C75E6A">
      <w:pPr>
        <w:rPr>
          <w:b/>
          <w:bCs/>
          <w:sz w:val="22"/>
          <w:szCs w:val="22"/>
        </w:rPr>
      </w:pPr>
      <w:r w:rsidRPr="00C75E6A">
        <w:rPr>
          <w:b/>
          <w:bCs/>
          <w:sz w:val="22"/>
          <w:szCs w:val="22"/>
        </w:rPr>
        <w:t>5. Tekst- en datamining (TDM)</w:t>
      </w:r>
    </w:p>
    <w:p w14:paraId="2DC33997" w14:textId="2A214401" w:rsidR="00C75E6A" w:rsidRPr="00C75E6A" w:rsidRDefault="00C75E6A" w:rsidP="00C75E6A">
      <w:pPr>
        <w:rPr>
          <w:sz w:val="22"/>
          <w:szCs w:val="22"/>
        </w:rPr>
      </w:pPr>
      <w:r w:rsidRPr="00C75E6A">
        <w:rPr>
          <w:sz w:val="22"/>
          <w:szCs w:val="22"/>
        </w:rPr>
        <w:lastRenderedPageBreak/>
        <w:t xml:space="preserve">De </w:t>
      </w:r>
      <w:r w:rsidRPr="00C75E6A">
        <w:rPr>
          <w:b/>
          <w:bCs/>
          <w:sz w:val="22"/>
          <w:szCs w:val="22"/>
        </w:rPr>
        <w:t>AI Act</w:t>
      </w:r>
      <w:r w:rsidRPr="00C75E6A">
        <w:rPr>
          <w:sz w:val="22"/>
          <w:szCs w:val="22"/>
        </w:rPr>
        <w:t xml:space="preserve"> gaat uit van AI-training binnen het geldende auteursrecht, waarbij rechthebbenden gebruik kunnen voorbehouden via de TDM-opt-out van artikel 4 van de </w:t>
      </w:r>
      <w:r w:rsidR="006D430A">
        <w:rPr>
          <w:sz w:val="22"/>
          <w:szCs w:val="22"/>
        </w:rPr>
        <w:t xml:space="preserve">EU </w:t>
      </w:r>
      <w:r w:rsidRPr="00C75E6A">
        <w:rPr>
          <w:sz w:val="22"/>
          <w:szCs w:val="22"/>
        </w:rPr>
        <w:t>DSM</w:t>
      </w:r>
      <w:r w:rsidR="006D430A">
        <w:rPr>
          <w:sz w:val="22"/>
          <w:szCs w:val="22"/>
        </w:rPr>
        <w:t xml:space="preserve"> Auteursrecht</w:t>
      </w:r>
      <w:r w:rsidRPr="00C75E6A">
        <w:rPr>
          <w:sz w:val="22"/>
          <w:szCs w:val="22"/>
        </w:rPr>
        <w:t xml:space="preserve">richtlijn. </w:t>
      </w:r>
      <w:r w:rsidR="000F6F7C" w:rsidRPr="00CA782E">
        <w:rPr>
          <w:sz w:val="22"/>
          <w:szCs w:val="22"/>
        </w:rPr>
        <w:t xml:space="preserve">Als er niet ge-opt-out is, zouden AI-modellen gewoon getraind mogen worden op auteursrechtelijk beschermd materiaal. </w:t>
      </w:r>
      <w:r w:rsidRPr="00C75E6A">
        <w:rPr>
          <w:sz w:val="22"/>
          <w:szCs w:val="22"/>
        </w:rPr>
        <w:t xml:space="preserve">Naar het oordeel van NVPI is deze exceptie echter niet bedoeld voor commercieel ingezette generatieve AI. </w:t>
      </w:r>
    </w:p>
    <w:p w14:paraId="518E8FEB" w14:textId="7934411E" w:rsidR="00E11D81" w:rsidRPr="00C75E6A" w:rsidRDefault="00C75E6A" w:rsidP="00C75E6A">
      <w:pPr>
        <w:rPr>
          <w:sz w:val="22"/>
          <w:szCs w:val="22"/>
        </w:rPr>
      </w:pPr>
      <w:r w:rsidRPr="00C75E6A">
        <w:rPr>
          <w:sz w:val="22"/>
          <w:szCs w:val="22"/>
        </w:rPr>
        <w:t xml:space="preserve">De TDM-exceptie is </w:t>
      </w:r>
      <w:r w:rsidR="00F369F7">
        <w:rPr>
          <w:sz w:val="22"/>
          <w:szCs w:val="22"/>
        </w:rPr>
        <w:t xml:space="preserve">naar mening van NVPI </w:t>
      </w:r>
      <w:r w:rsidRPr="00C75E6A">
        <w:rPr>
          <w:sz w:val="22"/>
          <w:szCs w:val="22"/>
        </w:rPr>
        <w:t xml:space="preserve">ontworpen als onderzoeksinstrument voor analyse van grote hoeveelheden data, niet voor het trainen van generatieve modellen die creatieve output produceren en economisch concurreren met beschermde werken. </w:t>
      </w:r>
      <w:r w:rsidR="006B7492">
        <w:rPr>
          <w:sz w:val="22"/>
          <w:szCs w:val="22"/>
        </w:rPr>
        <w:t xml:space="preserve">In rechtspraak is bevestigd dat </w:t>
      </w:r>
      <w:r w:rsidR="00BB2159">
        <w:rPr>
          <w:sz w:val="22"/>
          <w:szCs w:val="22"/>
        </w:rPr>
        <w:t xml:space="preserve">de TDM-exceptie niet van toepassing is indien </w:t>
      </w:r>
      <w:r w:rsidR="006B7492">
        <w:rPr>
          <w:sz w:val="22"/>
          <w:szCs w:val="22"/>
        </w:rPr>
        <w:t xml:space="preserve">AI-output </w:t>
      </w:r>
      <w:r w:rsidR="00BB2159">
        <w:rPr>
          <w:sz w:val="22"/>
          <w:szCs w:val="22"/>
        </w:rPr>
        <w:t xml:space="preserve">een auteursrechtelijke </w:t>
      </w:r>
      <w:r w:rsidR="006B7492">
        <w:rPr>
          <w:sz w:val="22"/>
          <w:szCs w:val="22"/>
        </w:rPr>
        <w:t xml:space="preserve">reproductie </w:t>
      </w:r>
      <w:r w:rsidR="00BB2159">
        <w:rPr>
          <w:sz w:val="22"/>
          <w:szCs w:val="22"/>
        </w:rPr>
        <w:t xml:space="preserve">is van beschermd trainingsmateriaal </w:t>
      </w:r>
      <w:r w:rsidR="00FF1B57">
        <w:rPr>
          <w:sz w:val="22"/>
          <w:szCs w:val="22"/>
        </w:rPr>
        <w:t>(</w:t>
      </w:r>
      <w:r w:rsidRPr="0032181E">
        <w:rPr>
          <w:sz w:val="22"/>
          <w:szCs w:val="22"/>
        </w:rPr>
        <w:t>GEMA tegen OpenAI (LG München</w:t>
      </w:r>
      <w:r w:rsidRPr="00C75E6A">
        <w:rPr>
          <w:sz w:val="22"/>
          <w:szCs w:val="22"/>
        </w:rPr>
        <w:t xml:space="preserve"> I, 11 november 2025)</w:t>
      </w:r>
      <w:r w:rsidR="00FF1B57">
        <w:rPr>
          <w:sz w:val="22"/>
          <w:szCs w:val="22"/>
        </w:rPr>
        <w:t>.</w:t>
      </w:r>
      <w:r w:rsidR="00E11D81">
        <w:rPr>
          <w:sz w:val="22"/>
          <w:szCs w:val="22"/>
        </w:rPr>
        <w:t xml:space="preserve"> </w:t>
      </w:r>
      <w:r w:rsidR="003E0CFC">
        <w:rPr>
          <w:sz w:val="22"/>
          <w:szCs w:val="22"/>
        </w:rPr>
        <w:t>Het (</w:t>
      </w:r>
      <w:r w:rsidR="003E0CFC" w:rsidRPr="003E0CFC">
        <w:rPr>
          <w:sz w:val="22"/>
          <w:szCs w:val="22"/>
        </w:rPr>
        <w:t>recente</w:t>
      </w:r>
      <w:r w:rsidR="003E0CFC">
        <w:rPr>
          <w:sz w:val="22"/>
          <w:szCs w:val="22"/>
        </w:rPr>
        <w:t xml:space="preserve">re) </w:t>
      </w:r>
      <w:r w:rsidR="003E0CFC" w:rsidRPr="003E0CFC">
        <w:rPr>
          <w:sz w:val="22"/>
          <w:szCs w:val="22"/>
        </w:rPr>
        <w:t xml:space="preserve">vonnis in GEMA/Suno (LG München I, 31 juli 2026) bevestigt dat onderscheid moet worden gemaakt tussen verschillende handelingen en fasen bij AI-training. Volgens de rechtbank kunnen voorbereidende reproducties ten behoeve van het samenstellen van het trainingscorpus (fase 1) onder de TDM-beperking vallen. Dit geldt echter niet voor reproducties van beschermde werken die door </w:t>
      </w:r>
      <w:r w:rsidR="003E0CFC">
        <w:rPr>
          <w:sz w:val="22"/>
          <w:szCs w:val="22"/>
        </w:rPr>
        <w:t>‘</w:t>
      </w:r>
      <w:r w:rsidR="003E0CFC" w:rsidRPr="003E0CFC">
        <w:rPr>
          <w:sz w:val="22"/>
          <w:szCs w:val="22"/>
        </w:rPr>
        <w:t>memorisation</w:t>
      </w:r>
      <w:r w:rsidR="003E0CFC">
        <w:rPr>
          <w:sz w:val="22"/>
          <w:szCs w:val="22"/>
        </w:rPr>
        <w:t>’</w:t>
      </w:r>
      <w:r w:rsidR="003E0CFC" w:rsidRPr="003E0CFC">
        <w:rPr>
          <w:sz w:val="22"/>
          <w:szCs w:val="22"/>
        </w:rPr>
        <w:t xml:space="preserve"> in het getrainde model zijn opgenomen (fase 2). Dergelijke reproducties dienen niet het doel van verdere data-analyse en vallen volgens de rechtbank niet onder de TDM-beperking. De rechtbank oordeelde tevens dat artikel 53 van de AI Act verwijst naar artikel 4 van de EU DSM Auteursrechtrichtlijn, maar de reikwijdte daarvan niet bepaalt.</w:t>
      </w:r>
    </w:p>
    <w:p w14:paraId="1B703B31" w14:textId="3C4FF900" w:rsidR="00781020" w:rsidRPr="00781020" w:rsidRDefault="00721C04" w:rsidP="00781020">
      <w:pPr>
        <w:rPr>
          <w:sz w:val="22"/>
          <w:szCs w:val="22"/>
        </w:rPr>
      </w:pPr>
      <w:r w:rsidRPr="00721C04">
        <w:rPr>
          <w:sz w:val="22"/>
          <w:szCs w:val="22"/>
        </w:rPr>
        <w:t>NVPI wijst erop dat rechtmatige toegang een harde voorwaarde is voor toepassing van de TDM-exceptie. Naar het oordeel van NVPI ontbreekt die in de praktijk veelal vanwege de gebruiksvoorwaarden van platforms</w:t>
      </w:r>
      <w:r w:rsidR="007501BC">
        <w:rPr>
          <w:sz w:val="22"/>
          <w:szCs w:val="22"/>
        </w:rPr>
        <w:t>.</w:t>
      </w:r>
      <w:r w:rsidRPr="00721C04" w:rsidDel="00721C04">
        <w:rPr>
          <w:sz w:val="22"/>
          <w:szCs w:val="22"/>
        </w:rPr>
        <w:t xml:space="preserve"> </w:t>
      </w:r>
      <w:r w:rsidR="00781020" w:rsidRPr="00781020">
        <w:rPr>
          <w:sz w:val="22"/>
          <w:szCs w:val="22"/>
        </w:rPr>
        <w:t xml:space="preserve">Artikel 4 </w:t>
      </w:r>
      <w:r w:rsidR="006D430A">
        <w:rPr>
          <w:sz w:val="22"/>
          <w:szCs w:val="22"/>
        </w:rPr>
        <w:t xml:space="preserve">EU </w:t>
      </w:r>
      <w:r w:rsidR="00781020" w:rsidRPr="00781020">
        <w:rPr>
          <w:sz w:val="22"/>
          <w:szCs w:val="22"/>
        </w:rPr>
        <w:t xml:space="preserve">DSM </w:t>
      </w:r>
      <w:r w:rsidR="006D430A">
        <w:rPr>
          <w:sz w:val="22"/>
          <w:szCs w:val="22"/>
        </w:rPr>
        <w:t xml:space="preserve">Auteursrechtrichtlijn </w:t>
      </w:r>
      <w:r w:rsidR="00781020" w:rsidRPr="00781020">
        <w:rPr>
          <w:sz w:val="22"/>
          <w:szCs w:val="22"/>
        </w:rPr>
        <w:t>heeft bovendien een beperkte reikwijdte: de exceptie ziet uitsluitend op reproducties en extracties en strekt zich niet uit tot latere handelingen zoals het beschikbaar stellen van werken of ander materiaal aan het publiek of de distributie daarvan. De exceptie kan evenmin worden ingeroepen voor het beschikbaar stellen van datasets die beschermde content bevatten.</w:t>
      </w:r>
    </w:p>
    <w:p w14:paraId="3B9B910E" w14:textId="77777777" w:rsidR="00781020" w:rsidRPr="00781020" w:rsidRDefault="00781020" w:rsidP="00781020">
      <w:pPr>
        <w:rPr>
          <w:sz w:val="22"/>
          <w:szCs w:val="22"/>
        </w:rPr>
      </w:pPr>
      <w:r w:rsidRPr="00781020">
        <w:rPr>
          <w:sz w:val="22"/>
          <w:szCs w:val="22"/>
        </w:rPr>
        <w:t>Daarnaast is “rechtmatige toegang” een essentiële voorwaarde. Daarvan is geen sprake indien toegang of gebruik in strijd is met contractuele voorwaarden of technische beschermingsmaatregelen. Het omzeilen van dergelijke maatregelen sluit een beroep op de exceptie uit.</w:t>
      </w:r>
    </w:p>
    <w:p w14:paraId="5A18A026" w14:textId="77777777" w:rsidR="00781020" w:rsidRPr="00781020" w:rsidRDefault="00781020" w:rsidP="00781020">
      <w:pPr>
        <w:rPr>
          <w:sz w:val="22"/>
          <w:szCs w:val="22"/>
        </w:rPr>
      </w:pPr>
      <w:r w:rsidRPr="00781020">
        <w:rPr>
          <w:sz w:val="22"/>
          <w:szCs w:val="22"/>
        </w:rPr>
        <w:t>Het recht van rechthebbenden om gebruik voor te behouden (opt-out) dient technologieneutraal en praktisch uitvoerbaar te zijn. In de praktijk gebeurt dit reeds op grote schaal via algemene voorwaarden, metadata, platformvoorwaarden en andere gangbare middelen. Een beperking tot één specifiek technisch protocol is onwenselijk en leidt tot rechtsonzekerheid.</w:t>
      </w:r>
    </w:p>
    <w:p w14:paraId="7DC4B861" w14:textId="6CB14622" w:rsidR="00781020" w:rsidRPr="00781020" w:rsidRDefault="00781020" w:rsidP="00781020">
      <w:pPr>
        <w:rPr>
          <w:sz w:val="22"/>
          <w:szCs w:val="22"/>
        </w:rPr>
      </w:pPr>
      <w:r w:rsidRPr="00781020">
        <w:rPr>
          <w:sz w:val="22"/>
          <w:szCs w:val="22"/>
        </w:rPr>
        <w:t>NVPI ziet op dit moment geen noodzaak voor een centrale Europese databank voor r</w:t>
      </w:r>
      <w:r>
        <w:rPr>
          <w:sz w:val="22"/>
          <w:szCs w:val="22"/>
        </w:rPr>
        <w:t>echten-voorbehouden</w:t>
      </w:r>
      <w:r w:rsidRPr="00781020">
        <w:rPr>
          <w:sz w:val="22"/>
          <w:szCs w:val="22"/>
        </w:rPr>
        <w:t>. Eventuele initiatieven op dit vlak dienen vrijwillig te zijn en mogen geen afbreuk doen aan de verplichting voor gebruikers om zelfstandig te verifiëren of content rechtmatig kan worden gebruikt.</w:t>
      </w:r>
    </w:p>
    <w:p w14:paraId="37919F2A" w14:textId="77777777" w:rsidR="00C75E6A" w:rsidRPr="00C75E6A" w:rsidRDefault="00C75E6A" w:rsidP="00C75E6A">
      <w:pPr>
        <w:rPr>
          <w:b/>
          <w:bCs/>
          <w:sz w:val="22"/>
          <w:szCs w:val="22"/>
        </w:rPr>
      </w:pPr>
      <w:r w:rsidRPr="00C75E6A">
        <w:rPr>
          <w:b/>
          <w:bCs/>
          <w:sz w:val="22"/>
          <w:szCs w:val="22"/>
        </w:rPr>
        <w:t>6. Transparantie en handhaafbaarheid</w:t>
      </w:r>
    </w:p>
    <w:p w14:paraId="6893D73C" w14:textId="7CE8AB3F" w:rsidR="00C75E6A" w:rsidRPr="0032181E" w:rsidRDefault="00C75E6A" w:rsidP="00C75E6A">
      <w:pPr>
        <w:rPr>
          <w:sz w:val="22"/>
          <w:szCs w:val="22"/>
        </w:rPr>
      </w:pPr>
      <w:r w:rsidRPr="0032181E">
        <w:rPr>
          <w:sz w:val="22"/>
          <w:szCs w:val="22"/>
        </w:rPr>
        <w:t xml:space="preserve">Transparantieverplichtingen, zoals uitgewerkt onder artikel 50 van de AI Act, dienen het publieke belang van herkenbaarheid van AI-gegenereerde content. Zij vormen echter geen vervanging van </w:t>
      </w:r>
      <w:r w:rsidRPr="0032181E">
        <w:rPr>
          <w:sz w:val="22"/>
          <w:szCs w:val="22"/>
        </w:rPr>
        <w:lastRenderedPageBreak/>
        <w:t>het auteursrechtelijke toestemmingsvereiste of van licensering. Transparantie moet deze rechten ondersteunen, niet onder</w:t>
      </w:r>
      <w:r w:rsidR="000F6F7C" w:rsidRPr="0032181E">
        <w:rPr>
          <w:sz w:val="22"/>
          <w:szCs w:val="22"/>
        </w:rPr>
        <w:t>mijnen.</w:t>
      </w:r>
    </w:p>
    <w:p w14:paraId="60D984FE" w14:textId="2559F25E" w:rsidR="002402D5" w:rsidRDefault="00C75E6A" w:rsidP="00C75E6A">
      <w:pPr>
        <w:rPr>
          <w:sz w:val="22"/>
          <w:szCs w:val="22"/>
        </w:rPr>
      </w:pPr>
      <w:r w:rsidRPr="00C75E6A">
        <w:rPr>
          <w:sz w:val="22"/>
          <w:szCs w:val="22"/>
        </w:rPr>
        <w:t>De huidige transparantieregels en de door de Europese Commissie ontwikkelde templates blijven te algemeen</w:t>
      </w:r>
      <w:r w:rsidR="000F6F7C" w:rsidRPr="00CA782E">
        <w:rPr>
          <w:sz w:val="22"/>
          <w:szCs w:val="22"/>
        </w:rPr>
        <w:t xml:space="preserve">. </w:t>
      </w:r>
      <w:r w:rsidRPr="00C75E6A">
        <w:rPr>
          <w:sz w:val="22"/>
          <w:szCs w:val="22"/>
        </w:rPr>
        <w:t xml:space="preserve">Voor effectieve licensering en handhaving is meer gerichte informatie nodig </w:t>
      </w:r>
      <w:r w:rsidR="00BE5143" w:rsidRPr="00D22DB7">
        <w:rPr>
          <w:rFonts w:ascii="Avenir Next LT Pro" w:hAnsi="Avenir Next LT Pro" w:cs="Times New Roman"/>
          <w:b/>
          <w:bCs/>
          <w:noProof/>
          <w:color w:val="1E1C3F"/>
        </w:rPr>
        <w:drawing>
          <wp:anchor distT="0" distB="0" distL="0" distR="0" simplePos="0" relativeHeight="251658242" behindDoc="1" locked="0" layoutInCell="1" allowOverlap="1" wp14:anchorId="2EEBC941" wp14:editId="08503D8D">
            <wp:simplePos x="0" y="0"/>
            <wp:positionH relativeFrom="page">
              <wp:align>left</wp:align>
            </wp:positionH>
            <wp:positionV relativeFrom="page">
              <wp:align>top</wp:align>
            </wp:positionV>
            <wp:extent cx="167425" cy="10723880"/>
            <wp:effectExtent l="0" t="0" r="4445" b="0"/>
            <wp:wrapSquare wrapText="bothSides"/>
            <wp:docPr id="144460828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167425" cy="10723880"/>
                    </a:xfrm>
                    <a:prstGeom prst="rect">
                      <a:avLst/>
                    </a:prstGeom>
                  </pic:spPr>
                </pic:pic>
              </a:graphicData>
            </a:graphic>
            <wp14:sizeRelH relativeFrom="margin">
              <wp14:pctWidth>0</wp14:pctWidth>
            </wp14:sizeRelH>
            <wp14:sizeRelV relativeFrom="margin">
              <wp14:pctHeight>0</wp14:pctHeight>
            </wp14:sizeRelV>
          </wp:anchor>
        </w:drawing>
      </w:r>
      <w:r w:rsidRPr="00C75E6A">
        <w:rPr>
          <w:sz w:val="22"/>
          <w:szCs w:val="22"/>
        </w:rPr>
        <w:t>over welk</w:t>
      </w:r>
      <w:r w:rsidR="00AF3F70">
        <w:rPr>
          <w:sz w:val="22"/>
          <w:szCs w:val="22"/>
        </w:rPr>
        <w:t xml:space="preserve"> beschermd </w:t>
      </w:r>
      <w:r w:rsidR="00323DAD">
        <w:rPr>
          <w:sz w:val="22"/>
          <w:szCs w:val="22"/>
        </w:rPr>
        <w:t xml:space="preserve">materiaal </w:t>
      </w:r>
      <w:r w:rsidR="00323DAD" w:rsidRPr="00C75E6A">
        <w:rPr>
          <w:sz w:val="22"/>
          <w:szCs w:val="22"/>
        </w:rPr>
        <w:t>in</w:t>
      </w:r>
      <w:r w:rsidRPr="00C75E6A">
        <w:rPr>
          <w:sz w:val="22"/>
          <w:szCs w:val="22"/>
        </w:rPr>
        <w:t xml:space="preserve"> welke modellen zijn gebruikt en op basis van welke juridische grondslag. </w:t>
      </w:r>
      <w:r w:rsidR="007C5236">
        <w:rPr>
          <w:sz w:val="22"/>
          <w:szCs w:val="22"/>
        </w:rPr>
        <w:t xml:space="preserve">Daarbij </w:t>
      </w:r>
      <w:r w:rsidR="00564C61">
        <w:rPr>
          <w:sz w:val="22"/>
          <w:szCs w:val="22"/>
        </w:rPr>
        <w:t xml:space="preserve">dient </w:t>
      </w:r>
      <w:r w:rsidR="007C5236">
        <w:rPr>
          <w:sz w:val="22"/>
          <w:szCs w:val="22"/>
        </w:rPr>
        <w:t xml:space="preserve">in ieder geval </w:t>
      </w:r>
      <w:r w:rsidR="00564C61">
        <w:rPr>
          <w:sz w:val="22"/>
          <w:szCs w:val="22"/>
        </w:rPr>
        <w:t xml:space="preserve">te </w:t>
      </w:r>
      <w:r w:rsidR="002402D5">
        <w:rPr>
          <w:sz w:val="22"/>
          <w:szCs w:val="22"/>
        </w:rPr>
        <w:t xml:space="preserve">worden gedacht aan </w:t>
      </w:r>
      <w:r w:rsidR="002402D5" w:rsidRPr="002402D5">
        <w:rPr>
          <w:sz w:val="22"/>
          <w:szCs w:val="22"/>
        </w:rPr>
        <w:t>titel, artiest en/of ISRC. Daarnaast is informatie relevant over de bron waaruit het materiaal is verkregen, alsmede de plaats, datum en het tijdstip waarop het materiaal is verkregen en voor training is gebruikt.</w:t>
      </w:r>
      <w:r w:rsidR="002402D5">
        <w:rPr>
          <w:sz w:val="22"/>
          <w:szCs w:val="22"/>
        </w:rPr>
        <w:t xml:space="preserve"> </w:t>
      </w:r>
    </w:p>
    <w:p w14:paraId="7E1BF627" w14:textId="5758A242" w:rsidR="007362C9" w:rsidRDefault="007362C9" w:rsidP="00C75E6A">
      <w:pPr>
        <w:rPr>
          <w:sz w:val="22"/>
          <w:szCs w:val="22"/>
        </w:rPr>
      </w:pPr>
      <w:r w:rsidRPr="007362C9">
        <w:rPr>
          <w:sz w:val="22"/>
          <w:szCs w:val="22"/>
        </w:rPr>
        <w:t xml:space="preserve">Daarbij </w:t>
      </w:r>
      <w:r>
        <w:rPr>
          <w:sz w:val="22"/>
          <w:szCs w:val="22"/>
        </w:rPr>
        <w:t xml:space="preserve">kan onderscheid worden </w:t>
      </w:r>
      <w:r w:rsidRPr="007362C9">
        <w:rPr>
          <w:sz w:val="22"/>
          <w:szCs w:val="22"/>
        </w:rPr>
        <w:t xml:space="preserve">gemaakt tussen publiek beschikbare informatie en meer gedetailleerde informatie die op verzoek aan rechthebbenden beschikbaar wordt gesteld. Publiek beschikbare informatie moet voldoende gedetailleerd zijn om rechthebbenden in staat te stellen een eerste beoordeling te maken of en hoe hun rechten zijn geraakt. Rechthebbenden </w:t>
      </w:r>
      <w:r>
        <w:rPr>
          <w:sz w:val="22"/>
          <w:szCs w:val="22"/>
        </w:rPr>
        <w:t>die willen licenseren of handhaven</w:t>
      </w:r>
      <w:r w:rsidRPr="007362C9">
        <w:rPr>
          <w:sz w:val="22"/>
          <w:szCs w:val="22"/>
        </w:rPr>
        <w:t>, moeten daarnaast op verzoek toegang kunnen krijgen tot volledige relevante gegevens over het gebruikte trainingsmateriaal</w:t>
      </w:r>
      <w:r w:rsidR="007C5236">
        <w:rPr>
          <w:sz w:val="22"/>
          <w:szCs w:val="22"/>
        </w:rPr>
        <w:t xml:space="preserve"> ten aanzien waarvan </w:t>
      </w:r>
      <w:r w:rsidR="007C5236" w:rsidRPr="007C5236">
        <w:rPr>
          <w:sz w:val="22"/>
          <w:szCs w:val="22"/>
        </w:rPr>
        <w:t>zij een legitiem belang hebben</w:t>
      </w:r>
      <w:r w:rsidRPr="007362C9">
        <w:rPr>
          <w:sz w:val="22"/>
          <w:szCs w:val="22"/>
        </w:rPr>
        <w:t>.</w:t>
      </w:r>
    </w:p>
    <w:p w14:paraId="0AB515DB" w14:textId="4D2A23E4" w:rsidR="00C75E6A" w:rsidRPr="00C75E6A" w:rsidRDefault="00C75E6A" w:rsidP="00C75E6A">
      <w:pPr>
        <w:rPr>
          <w:sz w:val="22"/>
          <w:szCs w:val="22"/>
        </w:rPr>
      </w:pPr>
      <w:r w:rsidRPr="00C75E6A">
        <w:rPr>
          <w:sz w:val="22"/>
          <w:szCs w:val="22"/>
        </w:rPr>
        <w:t xml:space="preserve">Zonder die informatie is handhaving in de praktijk </w:t>
      </w:r>
      <w:r w:rsidRPr="00CA782E">
        <w:rPr>
          <w:sz w:val="22"/>
          <w:szCs w:val="22"/>
        </w:rPr>
        <w:t>niet realistisch</w:t>
      </w:r>
      <w:r w:rsidR="00E1228D">
        <w:rPr>
          <w:sz w:val="22"/>
          <w:szCs w:val="22"/>
        </w:rPr>
        <w:t xml:space="preserve"> en wordt een gezonde licentiemarkt belemmerd</w:t>
      </w:r>
      <w:r w:rsidRPr="00CA782E">
        <w:rPr>
          <w:sz w:val="22"/>
          <w:szCs w:val="22"/>
        </w:rPr>
        <w:t>.</w:t>
      </w:r>
      <w:r w:rsidR="00E1228D" w:rsidRPr="00E1228D">
        <w:t xml:space="preserve"> </w:t>
      </w:r>
      <w:r w:rsidR="00E1228D" w:rsidRPr="00E1228D">
        <w:rPr>
          <w:sz w:val="22"/>
          <w:szCs w:val="22"/>
        </w:rPr>
        <w:t xml:space="preserve">Effectieve handhaving vereist daarnaast aanvullende procedurele waarborgen op nationaal niveau zoals adequate bewijsregels, mogelijkheden tot informatievordering en (indien </w:t>
      </w:r>
      <w:r w:rsidR="00E1228D">
        <w:rPr>
          <w:sz w:val="22"/>
          <w:szCs w:val="22"/>
        </w:rPr>
        <w:t>passend</w:t>
      </w:r>
      <w:r w:rsidR="00E1228D" w:rsidRPr="00E1228D">
        <w:rPr>
          <w:sz w:val="22"/>
          <w:szCs w:val="22"/>
        </w:rPr>
        <w:t>) een aangepaste bewijslastverdeling in procedures waarin het gebruik van beschermde content door AI-ontwikkelaars centraal staat.</w:t>
      </w:r>
    </w:p>
    <w:p w14:paraId="60142C1A" w14:textId="5926B432" w:rsidR="00C75E6A" w:rsidRDefault="00C75E6A" w:rsidP="00C75E6A">
      <w:pPr>
        <w:rPr>
          <w:sz w:val="22"/>
          <w:szCs w:val="22"/>
        </w:rPr>
      </w:pPr>
      <w:r w:rsidRPr="00C75E6A">
        <w:rPr>
          <w:sz w:val="22"/>
          <w:szCs w:val="22"/>
        </w:rPr>
        <w:t xml:space="preserve">Indien de TDM-opt-out wordt gehanteerd, moet deze werkbaar en technologieneutraal zijn. Beperking tot één technisch middel, zoals uitsluitend </w:t>
      </w:r>
      <w:r w:rsidR="00617AE2">
        <w:rPr>
          <w:sz w:val="22"/>
          <w:szCs w:val="22"/>
        </w:rPr>
        <w:t xml:space="preserve">het rigide </w:t>
      </w:r>
      <w:r w:rsidRPr="00C75E6A">
        <w:rPr>
          <w:sz w:val="22"/>
          <w:szCs w:val="22"/>
        </w:rPr>
        <w:t>robots.txt, leidt tot rechtsonzekerheid. Een opt-out moet kunnen worden gemaakt via gangbare methoden, waaronder metadata en algemene voorwaarden.</w:t>
      </w:r>
    </w:p>
    <w:p w14:paraId="62992B6F" w14:textId="28D53FAB" w:rsidR="00C75E6A" w:rsidRPr="00C75E6A" w:rsidRDefault="0087610C" w:rsidP="00C75E6A">
      <w:pPr>
        <w:rPr>
          <w:b/>
          <w:bCs/>
          <w:sz w:val="22"/>
          <w:szCs w:val="22"/>
        </w:rPr>
      </w:pPr>
      <w:r>
        <w:rPr>
          <w:b/>
          <w:bCs/>
          <w:sz w:val="22"/>
          <w:szCs w:val="22"/>
        </w:rPr>
        <w:t>7</w:t>
      </w:r>
      <w:r w:rsidR="00C75E6A" w:rsidRPr="00C75E6A">
        <w:rPr>
          <w:b/>
          <w:bCs/>
          <w:sz w:val="22"/>
          <w:szCs w:val="22"/>
        </w:rPr>
        <w:t xml:space="preserve">. Deepfakes </w:t>
      </w:r>
    </w:p>
    <w:p w14:paraId="29242EDF" w14:textId="65D1A07F" w:rsidR="00C75E6A" w:rsidRDefault="00C75E6A" w:rsidP="00C75E6A">
      <w:pPr>
        <w:rPr>
          <w:sz w:val="22"/>
          <w:szCs w:val="22"/>
        </w:rPr>
      </w:pPr>
      <w:r w:rsidRPr="00C75E6A">
        <w:rPr>
          <w:sz w:val="22"/>
          <w:szCs w:val="22"/>
        </w:rPr>
        <w:t>Goede bescherming tegen ongeautoriseerde deepfakes is noodzakelijk. Daarbij dient eerst zorgvuldig te worden gekeken naar bestaande juridische instrumenten, zoals het portretrecht, privacyrecht en onrechtmatige daad. De introductie van een nieuw naburig recht voor deepfakes van personen acht de NVPI voorbarig. Aanpassing en verduidelijking van het bestaande recht verdient de voorkeur.</w:t>
      </w:r>
    </w:p>
    <w:p w14:paraId="531A3B28" w14:textId="6DCCE727" w:rsidR="00250BBE" w:rsidRPr="00C75E6A" w:rsidRDefault="00250BBE" w:rsidP="00C75E6A">
      <w:pPr>
        <w:rPr>
          <w:sz w:val="22"/>
          <w:szCs w:val="22"/>
        </w:rPr>
      </w:pPr>
      <w:r>
        <w:rPr>
          <w:sz w:val="22"/>
          <w:szCs w:val="22"/>
        </w:rPr>
        <w:t xml:space="preserve">Daarbij geldt dat </w:t>
      </w:r>
      <w:r w:rsidR="00323DAD">
        <w:rPr>
          <w:sz w:val="22"/>
          <w:szCs w:val="22"/>
        </w:rPr>
        <w:t>l</w:t>
      </w:r>
      <w:r w:rsidR="00323DAD" w:rsidRPr="00250BBE">
        <w:rPr>
          <w:sz w:val="22"/>
          <w:szCs w:val="22"/>
        </w:rPr>
        <w:t>abelen</w:t>
      </w:r>
      <w:r w:rsidRPr="00250BBE">
        <w:rPr>
          <w:sz w:val="22"/>
          <w:szCs w:val="22"/>
        </w:rPr>
        <w:t xml:space="preserve"> van AI-gegenereerde content geen vervanging </w:t>
      </w:r>
      <w:r>
        <w:rPr>
          <w:sz w:val="22"/>
          <w:szCs w:val="22"/>
        </w:rPr>
        <w:t xml:space="preserve">is </w:t>
      </w:r>
      <w:r w:rsidRPr="00250BBE">
        <w:rPr>
          <w:sz w:val="22"/>
          <w:szCs w:val="22"/>
        </w:rPr>
        <w:t>voor toestemming voor het gebruik van de stem, het beeld, de naam of gelijkenis van een persoon.</w:t>
      </w:r>
    </w:p>
    <w:p w14:paraId="6C26E9EA" w14:textId="77777777" w:rsidR="00C75E6A" w:rsidRPr="00CA782E" w:rsidRDefault="00C75E6A" w:rsidP="00C75E6A">
      <w:pPr>
        <w:rPr>
          <w:sz w:val="22"/>
          <w:szCs w:val="22"/>
        </w:rPr>
      </w:pPr>
      <w:r w:rsidRPr="00C75E6A">
        <w:rPr>
          <w:sz w:val="22"/>
          <w:szCs w:val="22"/>
        </w:rPr>
        <w:t>Bij informatieverplichtingen voor deepfakes moet proportionaliteit centraal staan. De context van gebruik en het risico op misleiding zijn bepalend, niet het enkele feit dat AI is ingezet. Artistiek, creatief, satirisch en fictief gebruik moet mogelijk blijven.</w:t>
      </w:r>
    </w:p>
    <w:p w14:paraId="06A1504C" w14:textId="3BD57CC6" w:rsidR="007D56BD" w:rsidRDefault="007D56BD" w:rsidP="00C75E6A">
      <w:pPr>
        <w:rPr>
          <w:b/>
          <w:bCs/>
          <w:sz w:val="22"/>
          <w:szCs w:val="22"/>
        </w:rPr>
      </w:pPr>
      <w:r>
        <w:rPr>
          <w:b/>
          <w:bCs/>
          <w:sz w:val="22"/>
          <w:szCs w:val="22"/>
        </w:rPr>
        <w:t>8. Streamingfraude</w:t>
      </w:r>
    </w:p>
    <w:p w14:paraId="3054E65C" w14:textId="11804D3B" w:rsidR="007D56BD" w:rsidRPr="00323DAD" w:rsidRDefault="001B5F31" w:rsidP="00C75E6A">
      <w:pPr>
        <w:rPr>
          <w:sz w:val="22"/>
          <w:szCs w:val="22"/>
        </w:rPr>
      </w:pPr>
      <w:r w:rsidRPr="00323DAD">
        <w:rPr>
          <w:sz w:val="22"/>
          <w:szCs w:val="22"/>
        </w:rPr>
        <w:t>AI kan bestaande vormen van streamingfraude aanzienlijk vergroten onder meer doordat grote hoeveelheden content en accounts sneller en goedkoper kunnen worden gegenereerd en ingezet voor manipulatieve doeleinden</w:t>
      </w:r>
      <w:r w:rsidR="007D56BD" w:rsidRPr="00323DAD">
        <w:rPr>
          <w:sz w:val="22"/>
          <w:szCs w:val="22"/>
        </w:rPr>
        <w:t xml:space="preserve">. Dit kan de integriteit van de streamingmarkt aantasten en inkomsten onttrekken aan legitieme makers, artiesten en producenten. </w:t>
      </w:r>
    </w:p>
    <w:p w14:paraId="38701274" w14:textId="6B91C677" w:rsidR="007D56BD" w:rsidRPr="00323DAD" w:rsidRDefault="007D56BD" w:rsidP="00C75E6A">
      <w:pPr>
        <w:rPr>
          <w:sz w:val="22"/>
          <w:szCs w:val="22"/>
        </w:rPr>
      </w:pPr>
      <w:r w:rsidRPr="00323DAD">
        <w:rPr>
          <w:sz w:val="22"/>
          <w:szCs w:val="22"/>
        </w:rPr>
        <w:lastRenderedPageBreak/>
        <w:t>Bestrijding van dergelijke fraude vraagt om proactieve maatregelen in de gehele keten en kan niet uitsluitend door handhaving achteraf worden gerealiseerd. Digitale diensten, distributeurs, aggregators en andere tussenpersonen hebben naar de mening van NVPI een verantwoordelijkheid om bij te dragen aan het detecteren, tegengaan en weren van frauduleuze of ongeautoriseerde AI-gegenereerde content.</w:t>
      </w:r>
    </w:p>
    <w:p w14:paraId="181EF8C0" w14:textId="021F9380" w:rsidR="00C75E6A" w:rsidRPr="00CA782E" w:rsidRDefault="001A71A7" w:rsidP="00C75E6A">
      <w:pPr>
        <w:rPr>
          <w:b/>
          <w:bCs/>
          <w:sz w:val="22"/>
          <w:szCs w:val="22"/>
        </w:rPr>
      </w:pPr>
      <w:r>
        <w:rPr>
          <w:b/>
          <w:bCs/>
          <w:sz w:val="22"/>
          <w:szCs w:val="22"/>
        </w:rPr>
        <w:t>9</w:t>
      </w:r>
      <w:r w:rsidR="00C75E6A" w:rsidRPr="00C75E6A">
        <w:rPr>
          <w:b/>
          <w:bCs/>
          <w:sz w:val="22"/>
          <w:szCs w:val="22"/>
        </w:rPr>
        <w:t>. Conclusie en beleidsoproep</w:t>
      </w:r>
    </w:p>
    <w:p w14:paraId="7739A408" w14:textId="3EC57EE1" w:rsidR="00C75E6A" w:rsidRPr="00CA782E" w:rsidRDefault="00C75E6A" w:rsidP="00C75E6A">
      <w:pPr>
        <w:rPr>
          <w:sz w:val="22"/>
          <w:szCs w:val="22"/>
        </w:rPr>
      </w:pPr>
      <w:r w:rsidRPr="00C75E6A">
        <w:rPr>
          <w:sz w:val="22"/>
          <w:szCs w:val="22"/>
        </w:rPr>
        <w:t>NVPI roept politiek en overheid op vast te houden aan het bestaande Europese en nationale auteurs- en naburigrechtelijke kader. Rust en rechtszekerheid zijn noodzakelijk om marktgebaseerde licentiemodellen verder te laten groeien en investeringen te stimuleren. Nationale aanvullingen bovenop Europees recht zijn onnodig en leiden tot fragmentatie en concurrentieverstoring binnen de interne markt.</w:t>
      </w:r>
      <w:r w:rsidR="000F6F7C" w:rsidRPr="00CA782E">
        <w:rPr>
          <w:rStyle w:val="Voetnootmarkering"/>
          <w:sz w:val="22"/>
          <w:szCs w:val="22"/>
        </w:rPr>
        <w:footnoteReference w:id="1"/>
      </w:r>
    </w:p>
    <w:p w14:paraId="477399AD" w14:textId="56032D13" w:rsidR="000F6F7C" w:rsidRPr="00C75E6A" w:rsidRDefault="000F6F7C" w:rsidP="000F6F7C">
      <w:pPr>
        <w:rPr>
          <w:sz w:val="22"/>
          <w:szCs w:val="22"/>
        </w:rPr>
      </w:pPr>
      <w:r w:rsidRPr="00CA782E">
        <w:rPr>
          <w:sz w:val="22"/>
          <w:szCs w:val="22"/>
        </w:rPr>
        <w:t>D</w:t>
      </w:r>
      <w:r w:rsidRPr="00C75E6A">
        <w:rPr>
          <w:sz w:val="22"/>
          <w:szCs w:val="22"/>
        </w:rPr>
        <w:t xml:space="preserve">e creatieve sector past AI reeds op brede schaal toe, </w:t>
      </w:r>
      <w:r w:rsidR="001B5F31">
        <w:rPr>
          <w:sz w:val="22"/>
          <w:szCs w:val="22"/>
        </w:rPr>
        <w:t xml:space="preserve">zowel in creatieve en productionele processen als in </w:t>
      </w:r>
      <w:r w:rsidRPr="00C75E6A">
        <w:rPr>
          <w:sz w:val="22"/>
          <w:szCs w:val="22"/>
        </w:rPr>
        <w:t>bedrijfsvoering, marketing, distributie, rechtenbeheer</w:t>
      </w:r>
      <w:r w:rsidR="001B5F31">
        <w:rPr>
          <w:sz w:val="22"/>
          <w:szCs w:val="22"/>
        </w:rPr>
        <w:t xml:space="preserve"> en piraterijbestrijding</w:t>
      </w:r>
      <w:r w:rsidRPr="00C75E6A">
        <w:rPr>
          <w:sz w:val="22"/>
          <w:szCs w:val="22"/>
        </w:rPr>
        <w:t>. Deze toepassingen laten zien dat innovatie uitstekend mogelijk is binnen het bestaande juridische kader. Bescherming van rechten en technologische ontwikkeling sluiten elkaar niet uit, maar versterken elkaar.</w:t>
      </w:r>
    </w:p>
    <w:p w14:paraId="441EE830" w14:textId="52E51854" w:rsidR="007F03F1" w:rsidRPr="00CA782E" w:rsidRDefault="007F03F1">
      <w:pPr>
        <w:rPr>
          <w:sz w:val="22"/>
          <w:szCs w:val="22"/>
        </w:rPr>
      </w:pPr>
    </w:p>
    <w:sectPr w:rsidR="007F03F1" w:rsidRPr="00CA782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DD1DD" w14:textId="77777777" w:rsidR="00712734" w:rsidRDefault="00712734" w:rsidP="000F6F7C">
      <w:pPr>
        <w:spacing w:after="0" w:line="240" w:lineRule="auto"/>
      </w:pPr>
      <w:r>
        <w:separator/>
      </w:r>
    </w:p>
  </w:endnote>
  <w:endnote w:type="continuationSeparator" w:id="0">
    <w:p w14:paraId="338E0F97" w14:textId="77777777" w:rsidR="00712734" w:rsidRDefault="00712734" w:rsidP="000F6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96769"/>
      <w:docPartObj>
        <w:docPartGallery w:val="Page Numbers (Bottom of Page)"/>
        <w:docPartUnique/>
      </w:docPartObj>
    </w:sdtPr>
    <w:sdtEndPr/>
    <w:sdtContent>
      <w:p w14:paraId="34B4F2AB" w14:textId="3290608D" w:rsidR="00D06FA6" w:rsidRDefault="00D06FA6">
        <w:pPr>
          <w:pStyle w:val="Voettekst"/>
          <w:jc w:val="center"/>
        </w:pPr>
        <w:r>
          <w:fldChar w:fldCharType="begin"/>
        </w:r>
        <w:r>
          <w:instrText>PAGE   \* MERGEFORMAT</w:instrText>
        </w:r>
        <w:r>
          <w:fldChar w:fldCharType="separate"/>
        </w:r>
        <w:r>
          <w:t>2</w:t>
        </w:r>
        <w:r>
          <w:fldChar w:fldCharType="end"/>
        </w:r>
      </w:p>
    </w:sdtContent>
  </w:sdt>
  <w:p w14:paraId="1250819F" w14:textId="77777777" w:rsidR="00D06FA6" w:rsidRDefault="00D06F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074A" w14:textId="77777777" w:rsidR="00712734" w:rsidRDefault="00712734" w:rsidP="000F6F7C">
      <w:pPr>
        <w:spacing w:after="0" w:line="240" w:lineRule="auto"/>
      </w:pPr>
      <w:r>
        <w:separator/>
      </w:r>
    </w:p>
  </w:footnote>
  <w:footnote w:type="continuationSeparator" w:id="0">
    <w:p w14:paraId="13AFF78E" w14:textId="77777777" w:rsidR="00712734" w:rsidRDefault="00712734" w:rsidP="000F6F7C">
      <w:pPr>
        <w:spacing w:after="0" w:line="240" w:lineRule="auto"/>
      </w:pPr>
      <w:r>
        <w:continuationSeparator/>
      </w:r>
    </w:p>
  </w:footnote>
  <w:footnote w:id="1">
    <w:p w14:paraId="7304CA82" w14:textId="5CBD6F1A" w:rsidR="000F6F7C" w:rsidRDefault="000F6F7C" w:rsidP="00CA782E">
      <w:r>
        <w:rPr>
          <w:rStyle w:val="Voetnootmarkering"/>
        </w:rPr>
        <w:footnoteRef/>
      </w:r>
      <w:r>
        <w:t xml:space="preserve"> </w:t>
      </w:r>
      <w:r w:rsidRPr="00C75E6A">
        <w:rPr>
          <w:sz w:val="20"/>
          <w:szCs w:val="20"/>
        </w:rPr>
        <w:t xml:space="preserve">Deze beleidslijn sluit aan bij het </w:t>
      </w:r>
      <w:r w:rsidRPr="0032181E">
        <w:rPr>
          <w:sz w:val="20"/>
          <w:szCs w:val="20"/>
        </w:rPr>
        <w:t>Voss-rapport van de JURI-commissie van het</w:t>
      </w:r>
      <w:r w:rsidRPr="00C75E6A">
        <w:rPr>
          <w:sz w:val="20"/>
          <w:szCs w:val="20"/>
        </w:rPr>
        <w:t xml:space="preserve"> Europees Parlement: behoud van het bestaande kader, met gerichte verbeteringen op het gebied van transparantie en handhaafbaarheid, is de juiste weg vooruit. AI kan dan uitgroeien tot een kracht die innovatie stimuleert, zonder de creatieve en economische basis van film en muziek te ondermijnen.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AEC0" w14:textId="76D6337A" w:rsidR="007C3095" w:rsidRDefault="00705092">
    <w:pPr>
      <w:pStyle w:val="Koptekst"/>
    </w:pPr>
    <w:r>
      <w:rPr>
        <w:noProof/>
      </w:rPr>
      <w:drawing>
        <wp:anchor distT="0" distB="0" distL="114300" distR="114300" simplePos="0" relativeHeight="251658240" behindDoc="0" locked="0" layoutInCell="1" allowOverlap="1" wp14:anchorId="1281D66B" wp14:editId="4825B806">
          <wp:simplePos x="0" y="0"/>
          <wp:positionH relativeFrom="column">
            <wp:posOffset>5032350</wp:posOffset>
          </wp:positionH>
          <wp:positionV relativeFrom="paragraph">
            <wp:posOffset>-302692</wp:posOffset>
          </wp:positionV>
          <wp:extent cx="1492300" cy="456827"/>
          <wp:effectExtent l="0" t="0" r="0" b="635"/>
          <wp:wrapNone/>
          <wp:docPr id="67997640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76402" name="Afbeelding 679976402"/>
                  <pic:cNvPicPr/>
                </pic:nvPicPr>
                <pic:blipFill>
                  <a:blip r:embed="rId1">
                    <a:extLst>
                      <a:ext uri="{28A0092B-C50C-407E-A947-70E740481C1C}">
                        <a14:useLocalDpi xmlns:a14="http://schemas.microsoft.com/office/drawing/2010/main" val="0"/>
                      </a:ext>
                    </a:extLst>
                  </a:blip>
                  <a:stretch>
                    <a:fillRect/>
                  </a:stretch>
                </pic:blipFill>
                <pic:spPr>
                  <a:xfrm>
                    <a:off x="0" y="0"/>
                    <a:ext cx="1492300" cy="456827"/>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6A"/>
    <w:rsid w:val="00010F80"/>
    <w:rsid w:val="000701E7"/>
    <w:rsid w:val="00096B94"/>
    <w:rsid w:val="000E1481"/>
    <w:rsid w:val="000F6F7C"/>
    <w:rsid w:val="001111A7"/>
    <w:rsid w:val="001A71A7"/>
    <w:rsid w:val="001B5F31"/>
    <w:rsid w:val="002154B7"/>
    <w:rsid w:val="002402D5"/>
    <w:rsid w:val="00250BBE"/>
    <w:rsid w:val="00273DC6"/>
    <w:rsid w:val="002A514D"/>
    <w:rsid w:val="002F6BF6"/>
    <w:rsid w:val="0032181E"/>
    <w:rsid w:val="00323DAD"/>
    <w:rsid w:val="0039490C"/>
    <w:rsid w:val="003E0CFC"/>
    <w:rsid w:val="003E7C50"/>
    <w:rsid w:val="00405D18"/>
    <w:rsid w:val="00410323"/>
    <w:rsid w:val="00415239"/>
    <w:rsid w:val="0042607C"/>
    <w:rsid w:val="00430481"/>
    <w:rsid w:val="004700FE"/>
    <w:rsid w:val="004721A9"/>
    <w:rsid w:val="00472A90"/>
    <w:rsid w:val="00517F4C"/>
    <w:rsid w:val="00552444"/>
    <w:rsid w:val="00553002"/>
    <w:rsid w:val="00564C61"/>
    <w:rsid w:val="00570B70"/>
    <w:rsid w:val="00590E79"/>
    <w:rsid w:val="00591F1A"/>
    <w:rsid w:val="00617AE2"/>
    <w:rsid w:val="00646C4E"/>
    <w:rsid w:val="006708EF"/>
    <w:rsid w:val="00691900"/>
    <w:rsid w:val="006B7492"/>
    <w:rsid w:val="006D430A"/>
    <w:rsid w:val="00705092"/>
    <w:rsid w:val="00712734"/>
    <w:rsid w:val="00713246"/>
    <w:rsid w:val="00721C04"/>
    <w:rsid w:val="007362C9"/>
    <w:rsid w:val="00736C9D"/>
    <w:rsid w:val="00746B17"/>
    <w:rsid w:val="007501BC"/>
    <w:rsid w:val="00765084"/>
    <w:rsid w:val="00781020"/>
    <w:rsid w:val="007C3095"/>
    <w:rsid w:val="007C5236"/>
    <w:rsid w:val="007D56BD"/>
    <w:rsid w:val="007F03F1"/>
    <w:rsid w:val="00861A3A"/>
    <w:rsid w:val="0087610C"/>
    <w:rsid w:val="00887AC9"/>
    <w:rsid w:val="008C31F7"/>
    <w:rsid w:val="009017D4"/>
    <w:rsid w:val="009A582B"/>
    <w:rsid w:val="009B3857"/>
    <w:rsid w:val="009E621D"/>
    <w:rsid w:val="009F0123"/>
    <w:rsid w:val="00A34EB1"/>
    <w:rsid w:val="00AF3F70"/>
    <w:rsid w:val="00AF51B2"/>
    <w:rsid w:val="00B52F8B"/>
    <w:rsid w:val="00B7345A"/>
    <w:rsid w:val="00BA3B90"/>
    <w:rsid w:val="00BB2159"/>
    <w:rsid w:val="00BE5143"/>
    <w:rsid w:val="00BF15DB"/>
    <w:rsid w:val="00C007EC"/>
    <w:rsid w:val="00C049C8"/>
    <w:rsid w:val="00C4712C"/>
    <w:rsid w:val="00C75E6A"/>
    <w:rsid w:val="00C77930"/>
    <w:rsid w:val="00CA782E"/>
    <w:rsid w:val="00CC791F"/>
    <w:rsid w:val="00CD2292"/>
    <w:rsid w:val="00D06FA6"/>
    <w:rsid w:val="00D150B7"/>
    <w:rsid w:val="00D25618"/>
    <w:rsid w:val="00D70D6F"/>
    <w:rsid w:val="00D7780E"/>
    <w:rsid w:val="00D86449"/>
    <w:rsid w:val="00DB15CE"/>
    <w:rsid w:val="00E11D81"/>
    <w:rsid w:val="00E1228D"/>
    <w:rsid w:val="00E454C3"/>
    <w:rsid w:val="00EA2047"/>
    <w:rsid w:val="00EA6674"/>
    <w:rsid w:val="00EC3889"/>
    <w:rsid w:val="00F13032"/>
    <w:rsid w:val="00F16D48"/>
    <w:rsid w:val="00F369F7"/>
    <w:rsid w:val="00F543FE"/>
    <w:rsid w:val="00F605FF"/>
    <w:rsid w:val="00FA53F3"/>
    <w:rsid w:val="00FF1B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70757"/>
  <w15:chartTrackingRefBased/>
  <w15:docId w15:val="{85F31A49-20E4-410F-B40B-FA0A0B7D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75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5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5E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5E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75E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75E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5E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5E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5E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5E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5E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5E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5E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5E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5E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5E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5E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5E6A"/>
    <w:rPr>
      <w:rFonts w:eastAsiaTheme="majorEastAsia" w:cstheme="majorBidi"/>
      <w:color w:val="272727" w:themeColor="text1" w:themeTint="D8"/>
    </w:rPr>
  </w:style>
  <w:style w:type="paragraph" w:styleId="Titel">
    <w:name w:val="Title"/>
    <w:basedOn w:val="Standaard"/>
    <w:next w:val="Standaard"/>
    <w:link w:val="TitelChar"/>
    <w:uiPriority w:val="10"/>
    <w:qFormat/>
    <w:rsid w:val="00C75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5E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5E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5E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5E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5E6A"/>
    <w:rPr>
      <w:i/>
      <w:iCs/>
      <w:color w:val="404040" w:themeColor="text1" w:themeTint="BF"/>
    </w:rPr>
  </w:style>
  <w:style w:type="paragraph" w:styleId="Lijstalinea">
    <w:name w:val="List Paragraph"/>
    <w:basedOn w:val="Standaard"/>
    <w:uiPriority w:val="34"/>
    <w:qFormat/>
    <w:rsid w:val="00C75E6A"/>
    <w:pPr>
      <w:ind w:left="720"/>
      <w:contextualSpacing/>
    </w:pPr>
  </w:style>
  <w:style w:type="character" w:styleId="Intensievebenadrukking">
    <w:name w:val="Intense Emphasis"/>
    <w:basedOn w:val="Standaardalinea-lettertype"/>
    <w:uiPriority w:val="21"/>
    <w:qFormat/>
    <w:rsid w:val="00C75E6A"/>
    <w:rPr>
      <w:i/>
      <w:iCs/>
      <w:color w:val="0F4761" w:themeColor="accent1" w:themeShade="BF"/>
    </w:rPr>
  </w:style>
  <w:style w:type="paragraph" w:styleId="Duidelijkcitaat">
    <w:name w:val="Intense Quote"/>
    <w:basedOn w:val="Standaard"/>
    <w:next w:val="Standaard"/>
    <w:link w:val="DuidelijkcitaatChar"/>
    <w:uiPriority w:val="30"/>
    <w:qFormat/>
    <w:rsid w:val="00C75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75E6A"/>
    <w:rPr>
      <w:i/>
      <w:iCs/>
      <w:color w:val="0F4761" w:themeColor="accent1" w:themeShade="BF"/>
    </w:rPr>
  </w:style>
  <w:style w:type="character" w:styleId="Intensieveverwijzing">
    <w:name w:val="Intense Reference"/>
    <w:basedOn w:val="Standaardalinea-lettertype"/>
    <w:uiPriority w:val="32"/>
    <w:qFormat/>
    <w:rsid w:val="00C75E6A"/>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0F6F7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F6F7C"/>
    <w:rPr>
      <w:sz w:val="20"/>
      <w:szCs w:val="20"/>
    </w:rPr>
  </w:style>
  <w:style w:type="character" w:styleId="Voetnootmarkering">
    <w:name w:val="footnote reference"/>
    <w:basedOn w:val="Standaardalinea-lettertype"/>
    <w:uiPriority w:val="99"/>
    <w:semiHidden/>
    <w:unhideWhenUsed/>
    <w:rsid w:val="000F6F7C"/>
    <w:rPr>
      <w:vertAlign w:val="superscript"/>
    </w:rPr>
  </w:style>
  <w:style w:type="character" w:styleId="Verwijzingopmerking">
    <w:name w:val="annotation reference"/>
    <w:basedOn w:val="Standaardalinea-lettertype"/>
    <w:uiPriority w:val="99"/>
    <w:semiHidden/>
    <w:unhideWhenUsed/>
    <w:rsid w:val="00517F4C"/>
    <w:rPr>
      <w:sz w:val="16"/>
      <w:szCs w:val="16"/>
    </w:rPr>
  </w:style>
  <w:style w:type="paragraph" w:styleId="Tekstopmerking">
    <w:name w:val="annotation text"/>
    <w:basedOn w:val="Standaard"/>
    <w:link w:val="TekstopmerkingChar"/>
    <w:uiPriority w:val="99"/>
    <w:unhideWhenUsed/>
    <w:rsid w:val="00517F4C"/>
    <w:pPr>
      <w:spacing w:line="240" w:lineRule="auto"/>
    </w:pPr>
    <w:rPr>
      <w:sz w:val="20"/>
      <w:szCs w:val="20"/>
    </w:rPr>
  </w:style>
  <w:style w:type="character" w:customStyle="1" w:styleId="TekstopmerkingChar">
    <w:name w:val="Tekst opmerking Char"/>
    <w:basedOn w:val="Standaardalinea-lettertype"/>
    <w:link w:val="Tekstopmerking"/>
    <w:uiPriority w:val="99"/>
    <w:rsid w:val="00517F4C"/>
    <w:rPr>
      <w:sz w:val="20"/>
      <w:szCs w:val="20"/>
    </w:rPr>
  </w:style>
  <w:style w:type="paragraph" w:styleId="Onderwerpvanopmerking">
    <w:name w:val="annotation subject"/>
    <w:basedOn w:val="Tekstopmerking"/>
    <w:next w:val="Tekstopmerking"/>
    <w:link w:val="OnderwerpvanopmerkingChar"/>
    <w:uiPriority w:val="99"/>
    <w:semiHidden/>
    <w:unhideWhenUsed/>
    <w:rsid w:val="00517F4C"/>
    <w:rPr>
      <w:b/>
      <w:bCs/>
    </w:rPr>
  </w:style>
  <w:style w:type="character" w:customStyle="1" w:styleId="OnderwerpvanopmerkingChar">
    <w:name w:val="Onderwerp van opmerking Char"/>
    <w:basedOn w:val="TekstopmerkingChar"/>
    <w:link w:val="Onderwerpvanopmerking"/>
    <w:uiPriority w:val="99"/>
    <w:semiHidden/>
    <w:rsid w:val="00517F4C"/>
    <w:rPr>
      <w:b/>
      <w:bCs/>
      <w:sz w:val="20"/>
      <w:szCs w:val="20"/>
    </w:rPr>
  </w:style>
  <w:style w:type="paragraph" w:styleId="Revisie">
    <w:name w:val="Revision"/>
    <w:hidden/>
    <w:uiPriority w:val="99"/>
    <w:semiHidden/>
    <w:rsid w:val="0042607C"/>
    <w:pPr>
      <w:spacing w:after="0" w:line="240" w:lineRule="auto"/>
    </w:pPr>
  </w:style>
  <w:style w:type="paragraph" w:styleId="Koptekst">
    <w:name w:val="header"/>
    <w:basedOn w:val="Standaard"/>
    <w:link w:val="KoptekstChar"/>
    <w:uiPriority w:val="99"/>
    <w:unhideWhenUsed/>
    <w:rsid w:val="00D06F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6FA6"/>
  </w:style>
  <w:style w:type="paragraph" w:styleId="Voettekst">
    <w:name w:val="footer"/>
    <w:basedOn w:val="Standaard"/>
    <w:link w:val="VoettekstChar"/>
    <w:uiPriority w:val="99"/>
    <w:unhideWhenUsed/>
    <w:rsid w:val="00D06F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07c1f565-cf40-496a-81ed-2d55bc5e9412">3CAM7JKSAKVE-1080409917-1949449</_dlc_DocId>
    <lcf76f155ced4ddcb4097134ff3c332f xmlns="e6789927-5abd-433d-a8c8-f1af36d34faa">
      <Terms xmlns="http://schemas.microsoft.com/office/infopath/2007/PartnerControls"/>
    </lcf76f155ced4ddcb4097134ff3c332f>
    <TaxCatchAll xmlns="07c1f565-cf40-496a-81ed-2d55bc5e9412" xsi:nil="true"/>
    <_dlc_DocIdUrl xmlns="07c1f565-cf40-496a-81ed-2d55bc5e9412">
      <Url>https://nluitgeversverbond.sharepoint.com/sites/Bestanden-mediafederatie/_layouts/15/DocIdRedir.aspx?ID=3CAM7JKSAKVE-1080409917-1949449</Url>
      <Description>3CAM7JKSAKVE-1080409917-1949449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09AD9274F0DD46AD360B6EB17766F4" ma:contentTypeVersion="4668" ma:contentTypeDescription="Een nieuw document maken." ma:contentTypeScope="" ma:versionID="60b53a44ed5a0567ac6c1837484658a0">
  <xsd:schema xmlns:xsd="http://www.w3.org/2001/XMLSchema" xmlns:xs="http://www.w3.org/2001/XMLSchema" xmlns:p="http://schemas.microsoft.com/office/2006/metadata/properties" xmlns:ns2="07c1f565-cf40-496a-81ed-2d55bc5e9412" xmlns:ns3="e6789927-5abd-433d-a8c8-f1af36d34faa" targetNamespace="http://schemas.microsoft.com/office/2006/metadata/properties" ma:root="true" ma:fieldsID="cbc0bbdb195defdd66776f7cc5e7fda0" ns2:_="" ns3:_="">
    <xsd:import namespace="07c1f565-cf40-496a-81ed-2d55bc5e9412"/>
    <xsd:import namespace="e6789927-5abd-433d-a8c8-f1af36d34f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2:TaxCatchAll" minOccurs="0"/>
                <xsd:element ref="ns3:MediaServiceObjectDetectorVersions" minOccurs="0"/>
                <xsd:element ref="ns3:MediaServiceSearchProperties" minOccurs="0"/>
                <xsd:element ref="ns3:MediaServiceBillingMetadata"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1f565-cf40-496a-81ed-2d55bc5e9412"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9506466a-ff14-4ef9-acb3-0ff57817a670}" ma:internalName="TaxCatchAll" ma:showField="CatchAllData" ma:web="07c1f565-cf40-496a-81ed-2d55bc5e941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789927-5abd-433d-a8c8-f1af36d34f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4283a3fd-3ef2-4c2a-ae89-e0d720a4be8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5A90B-22ED-4413-808B-0C67C46F1A4E}">
  <ds:schemaRefs>
    <ds:schemaRef ds:uri="http://schemas.microsoft.com/sharepoint/v3/contenttype/forms"/>
  </ds:schemaRefs>
</ds:datastoreItem>
</file>

<file path=customXml/itemProps2.xml><?xml version="1.0" encoding="utf-8"?>
<ds:datastoreItem xmlns:ds="http://schemas.openxmlformats.org/officeDocument/2006/customXml" ds:itemID="{B9BA341D-5648-4F41-8429-4F7F7F13A626}">
  <ds:schemaRefs>
    <ds:schemaRef ds:uri="http://schemas.microsoft.com/office/2006/metadata/properties"/>
    <ds:schemaRef ds:uri="http://schemas.microsoft.com/office/infopath/2007/PartnerControls"/>
    <ds:schemaRef ds:uri="07c1f565-cf40-496a-81ed-2d55bc5e9412"/>
    <ds:schemaRef ds:uri="e6789927-5abd-433d-a8c8-f1af36d34faa"/>
  </ds:schemaRefs>
</ds:datastoreItem>
</file>

<file path=customXml/itemProps3.xml><?xml version="1.0" encoding="utf-8"?>
<ds:datastoreItem xmlns:ds="http://schemas.openxmlformats.org/officeDocument/2006/customXml" ds:itemID="{DD0341C5-61ED-4392-8E24-9F47F9DAD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1f565-cf40-496a-81ed-2d55bc5e9412"/>
    <ds:schemaRef ds:uri="e6789927-5abd-433d-a8c8-f1af36d34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EDE981-30C7-41EF-8D81-46B757A75BBC}">
  <ds:schemaRefs>
    <ds:schemaRef ds:uri="http://schemas.microsoft.com/sharepoint/events"/>
  </ds:schemaRefs>
</ds:datastoreItem>
</file>

<file path=customXml/itemProps5.xml><?xml version="1.0" encoding="utf-8"?>
<ds:datastoreItem xmlns:ds="http://schemas.openxmlformats.org/officeDocument/2006/customXml" ds:itemID="{B7CCADF1-FE56-4C98-8BDE-38EB15AA5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1876</Words>
  <Characters>12067</Characters>
  <Application>Microsoft Office Word</Application>
  <DocSecurity>4</DocSecurity>
  <Lines>185</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de Vroome</dc:creator>
  <cp:keywords/>
  <dc:description/>
  <cp:lastModifiedBy>Eva de Vroome</cp:lastModifiedBy>
  <cp:revision>2</cp:revision>
  <dcterms:created xsi:type="dcterms:W3CDTF">2026-10-01T13:34:00Z</dcterms:created>
  <dcterms:modified xsi:type="dcterms:W3CDTF">2026-10-01T13:34:00Z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0x010100C009AD9274F0DD46AD360B6EB17766F4</vt:lpwstr>
  </property>
  <property fmtid="{D5CDD505-2E9C-101B-9397-08002B2CF9AE}" pid="3" name="MediaServiceImageTags">
    <vt:lpwstr/>
  </property>
  <property fmtid="{D5CDD505-2E9C-101B-9397-08002B2CF9AE}" pid="4" name="_dlc_DocIdItemGuid">
    <vt:lpwstr>60837cb8-f89a-4603-8e2b-0d4bbdda7552</vt:lpwstr>
  </property>
  <property fmtid="{D5CDD505-2E9C-101B-9397-08002B2CF9AE}" pid="5" name="docLang">
    <vt:lpwstr>nl</vt:lpwstr>
  </property>
</Properties>
</file>